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0D324B">
      <w:pPr>
        <w:suppressLineNumbers/>
        <w:tabs>
          <w:tab w:val="left" w:pos="425"/>
        </w:tabs>
        <w:ind w:firstLine="283"/>
        <w:rPr>
          <w:rFonts w:hint="cs"/>
          <w:sz w:val="26"/>
          <w:szCs w:val="26"/>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5"/>
        <w:gridCol w:w="2457"/>
        <w:gridCol w:w="5478"/>
      </w:tblGrid>
      <w:tr w:rsidR="006816EC" w:rsidTr="00477AEA">
        <w:trPr>
          <w:jc w:val="center"/>
        </w:trPr>
        <w:tc>
          <w:tcPr>
            <w:tcW w:w="885" w:type="dxa"/>
            <w:hideMark/>
          </w:tcPr>
          <w:p w:rsidR="006816EC" w:rsidRDefault="00FB3C14" w:rsidP="000D324B">
            <w:pPr>
              <w:tabs>
                <w:tab w:val="left" w:pos="425"/>
              </w:tabs>
              <w:ind w:firstLine="283"/>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7935" w:type="dxa"/>
            <w:gridSpan w:val="2"/>
            <w:hideMark/>
          </w:tcPr>
          <w:p w:rsidR="006816EC" w:rsidRDefault="00B32C61" w:rsidP="000D324B">
            <w:pPr>
              <w:tabs>
                <w:tab w:val="left" w:pos="425"/>
              </w:tabs>
              <w:ind w:firstLine="283"/>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שירלי שי</w:t>
                </w:r>
              </w:sdtContent>
            </w:sdt>
          </w:p>
          <w:p w:rsidR="006816EC" w:rsidRPr="006816EC" w:rsidRDefault="006816EC" w:rsidP="000D324B">
            <w:pPr>
              <w:tabs>
                <w:tab w:val="left" w:pos="425"/>
              </w:tabs>
              <w:ind w:firstLine="283"/>
            </w:pPr>
          </w:p>
        </w:tc>
      </w:tr>
      <w:tr w:rsidR="006816EC" w:rsidTr="00477AEA">
        <w:trPr>
          <w:jc w:val="center"/>
        </w:trPr>
        <w:tc>
          <w:tcPr>
            <w:tcW w:w="3342" w:type="dxa"/>
            <w:gridSpan w:val="2"/>
          </w:tcPr>
          <w:p w:rsidR="006816EC" w:rsidRDefault="006816EC" w:rsidP="000D324B">
            <w:pPr>
              <w:tabs>
                <w:tab w:val="left" w:pos="425"/>
              </w:tabs>
              <w:bidi w:val="0"/>
              <w:ind w:firstLine="283"/>
              <w:rPr>
                <w:rFonts w:ascii="Arial (W1)" w:hAnsi="Arial (W1)"/>
                <w:b/>
                <w:bCs/>
                <w:noProof w:val="0"/>
                <w:sz w:val="28"/>
                <w:szCs w:val="28"/>
                <w:rtl/>
              </w:rPr>
            </w:pPr>
          </w:p>
          <w:sdt>
            <w:sdtPr>
              <w:rPr>
                <w:rFonts w:hint="cs"/>
                <w:rtl/>
              </w:rPr>
              <w:alias w:val="1180"/>
              <w:tag w:val="1180"/>
              <w:id w:val="-803768281"/>
              <w:text w:multiLine="1"/>
            </w:sdtPr>
            <w:sdtEndPr/>
            <w:sdtContent>
              <w:p w:rsidR="008B4EDD" w:rsidRDefault="00A070F8" w:rsidP="000D324B">
                <w:pPr>
                  <w:tabs>
                    <w:tab w:val="left" w:pos="425"/>
                  </w:tabs>
                  <w:ind w:firstLine="283"/>
                  <w:rPr>
                    <w:rFonts w:ascii="Arial (W1)" w:hAnsi="Arial (W1)"/>
                    <w:b/>
                    <w:bCs/>
                    <w:noProof w:val="0"/>
                    <w:sz w:val="28"/>
                    <w:szCs w:val="28"/>
                  </w:rPr>
                </w:pPr>
                <w:r>
                  <w:rPr>
                    <w:rFonts w:hint="cs"/>
                    <w:b/>
                    <w:bCs/>
                    <w:noProof w:val="0"/>
                    <w:sz w:val="28"/>
                    <w:rtl/>
                  </w:rPr>
                  <w:t>תובע</w:t>
                </w:r>
                <w:r w:rsidR="000D324B">
                  <w:rPr>
                    <w:rFonts w:hint="cs"/>
                    <w:b/>
                    <w:bCs/>
                    <w:noProof w:val="0"/>
                    <w:sz w:val="28"/>
                    <w:rtl/>
                  </w:rPr>
                  <w:t>ת</w:t>
                </w:r>
              </w:p>
            </w:sdtContent>
          </w:sdt>
        </w:tc>
        <w:tc>
          <w:tcPr>
            <w:tcW w:w="5478" w:type="dxa"/>
          </w:tcPr>
          <w:p w:rsidR="006816EC" w:rsidRDefault="006816EC" w:rsidP="000D324B">
            <w:pPr>
              <w:tabs>
                <w:tab w:val="left" w:pos="425"/>
              </w:tabs>
              <w:ind w:firstLine="283"/>
              <w:rPr>
                <w:rFonts w:ascii="Arial (W1)" w:hAnsi="Arial (W1)"/>
                <w:b/>
                <w:bCs/>
                <w:noProof w:val="0"/>
                <w:sz w:val="28"/>
                <w:szCs w:val="28"/>
                <w:rtl/>
              </w:rPr>
            </w:pPr>
          </w:p>
          <w:p w:rsidR="000D324B" w:rsidRDefault="004F0340" w:rsidP="00AD2FC2">
            <w:pPr>
              <w:tabs>
                <w:tab w:val="left" w:pos="425"/>
              </w:tabs>
              <w:ind w:firstLine="283"/>
              <w:rPr>
                <w:rFonts w:ascii="Arial" w:hAnsi="Arial"/>
                <w:b/>
                <w:bCs/>
                <w:noProof w:val="0"/>
                <w:sz w:val="26"/>
                <w:szCs w:val="26"/>
                <w:rtl/>
              </w:rPr>
            </w:pPr>
            <w:sdt>
              <w:sdtPr>
                <w:rPr>
                  <w:rFonts w:hint="cs"/>
                  <w:b/>
                  <w:bCs/>
                  <w:noProof w:val="0"/>
                  <w:sz w:val="28"/>
                  <w:rtl/>
                </w:rPr>
                <w:alias w:val="1478"/>
                <w:tag w:val="1478"/>
                <w:id w:val="160126198"/>
                <w:text w:multiLine="1"/>
              </w:sdtPr>
              <w:sdtEndPr/>
              <w:sdtContent>
                <w:r w:rsidR="00AD2FC2">
                  <w:rPr>
                    <w:rFonts w:hint="cs"/>
                    <w:b/>
                    <w:bCs/>
                    <w:noProof w:val="0"/>
                    <w:sz w:val="28"/>
                    <w:rtl/>
                  </w:rPr>
                  <w:t>י' ש'</w:t>
                </w:r>
              </w:sdtContent>
            </w:sdt>
            <w:r w:rsidR="009C358E" w:rsidRPr="009C358E">
              <w:rPr>
                <w:rFonts w:hint="cs"/>
                <w:b/>
                <w:bCs/>
                <w:noProof w:val="0"/>
                <w:sz w:val="28"/>
                <w:rtl/>
              </w:rPr>
              <w:t xml:space="preserve"> </w:t>
            </w:r>
          </w:p>
          <w:p w:rsidR="006816EC" w:rsidRDefault="00E44DDF" w:rsidP="00E44021">
            <w:pPr>
              <w:tabs>
                <w:tab w:val="left" w:pos="425"/>
              </w:tabs>
              <w:ind w:firstLine="283"/>
              <w:rPr>
                <w:rFonts w:ascii="Arial (W1)" w:hAnsi="Arial (W1)"/>
                <w:b/>
                <w:bCs/>
                <w:noProof w:val="0"/>
                <w:sz w:val="28"/>
                <w:szCs w:val="28"/>
              </w:rPr>
            </w:pPr>
            <w:r w:rsidRPr="00E44021">
              <w:rPr>
                <w:b/>
                <w:bCs/>
                <w:noProof w:val="0"/>
                <w:sz w:val="28"/>
                <w:rtl/>
              </w:rPr>
              <w:t>ע"י ב"כ עוה"ד</w:t>
            </w:r>
            <w:r w:rsidR="00477AEA" w:rsidRPr="00E44021">
              <w:rPr>
                <w:rFonts w:hint="cs"/>
                <w:b/>
                <w:bCs/>
                <w:noProof w:val="0"/>
                <w:sz w:val="28"/>
                <w:rtl/>
              </w:rPr>
              <w:t xml:space="preserve"> לורי</w:t>
            </w:r>
            <w:r w:rsidR="00E44021" w:rsidRPr="00E44021">
              <w:rPr>
                <w:rFonts w:hint="cs"/>
                <w:b/>
                <w:bCs/>
                <w:noProof w:val="0"/>
                <w:sz w:val="28"/>
                <w:rtl/>
              </w:rPr>
              <w:t xml:space="preserve"> גייזלר</w:t>
            </w:r>
          </w:p>
        </w:tc>
      </w:tr>
      <w:tr w:rsidR="006816EC" w:rsidTr="006816EC">
        <w:trPr>
          <w:jc w:val="center"/>
        </w:trPr>
        <w:tc>
          <w:tcPr>
            <w:tcW w:w="8820" w:type="dxa"/>
            <w:gridSpan w:val="3"/>
          </w:tcPr>
          <w:p w:rsidR="006816EC" w:rsidRDefault="006816EC" w:rsidP="000D324B">
            <w:pPr>
              <w:tabs>
                <w:tab w:val="left" w:pos="425"/>
              </w:tabs>
              <w:ind w:firstLine="283"/>
              <w:rPr>
                <w:rFonts w:ascii="Arial (W1)" w:hAnsi="Arial (W1)"/>
                <w:b/>
                <w:bCs/>
                <w:noProof w:val="0"/>
                <w:sz w:val="28"/>
                <w:szCs w:val="28"/>
                <w:rtl/>
              </w:rPr>
            </w:pPr>
          </w:p>
          <w:p w:rsidR="006816EC" w:rsidRDefault="006816EC" w:rsidP="000D324B">
            <w:pPr>
              <w:tabs>
                <w:tab w:val="left" w:pos="425"/>
              </w:tabs>
              <w:ind w:firstLine="283"/>
              <w:jc w:val="center"/>
              <w:rPr>
                <w:b/>
                <w:bCs/>
                <w:noProof w:val="0"/>
                <w:sz w:val="28"/>
                <w:rtl/>
              </w:rPr>
            </w:pPr>
            <w:r>
              <w:rPr>
                <w:rFonts w:hint="cs"/>
                <w:b/>
                <w:bCs/>
                <w:noProof w:val="0"/>
                <w:sz w:val="28"/>
                <w:rtl/>
              </w:rPr>
              <w:t>נגד</w:t>
            </w:r>
          </w:p>
          <w:p w:rsidR="006816EC" w:rsidRDefault="006816EC" w:rsidP="000D324B">
            <w:pPr>
              <w:tabs>
                <w:tab w:val="left" w:pos="425"/>
              </w:tabs>
              <w:ind w:firstLine="283"/>
              <w:rPr>
                <w:rFonts w:ascii="Arial (W1)" w:hAnsi="Arial (W1)"/>
                <w:b/>
                <w:bCs/>
                <w:noProof w:val="0"/>
                <w:sz w:val="28"/>
                <w:szCs w:val="28"/>
              </w:rPr>
            </w:pPr>
          </w:p>
        </w:tc>
      </w:tr>
      <w:tr w:rsidR="006816EC" w:rsidTr="00477AEA">
        <w:trPr>
          <w:jc w:val="center"/>
        </w:trPr>
        <w:tc>
          <w:tcPr>
            <w:tcW w:w="3342" w:type="dxa"/>
            <w:gridSpan w:val="2"/>
          </w:tcPr>
          <w:p w:rsidR="006816EC" w:rsidRDefault="004F0340" w:rsidP="000D324B">
            <w:pPr>
              <w:tabs>
                <w:tab w:val="left" w:pos="425"/>
              </w:tabs>
              <w:ind w:firstLine="283"/>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w:t>
                </w:r>
              </w:sdtContent>
            </w:sdt>
          </w:p>
        </w:tc>
        <w:tc>
          <w:tcPr>
            <w:tcW w:w="5478" w:type="dxa"/>
          </w:tcPr>
          <w:p w:rsidR="000D324B" w:rsidRDefault="004F0340" w:rsidP="00AD2FC2">
            <w:pPr>
              <w:tabs>
                <w:tab w:val="left" w:pos="425"/>
              </w:tabs>
              <w:ind w:firstLine="283"/>
              <w:rPr>
                <w:rFonts w:ascii="Arial" w:hAnsi="Arial"/>
                <w:b/>
                <w:bCs/>
                <w:noProof w:val="0"/>
                <w:sz w:val="26"/>
                <w:szCs w:val="26"/>
                <w:rtl/>
              </w:rPr>
            </w:pPr>
            <w:sdt>
              <w:sdtPr>
                <w:rPr>
                  <w:rFonts w:hint="cs"/>
                  <w:b/>
                  <w:bCs/>
                  <w:noProof w:val="0"/>
                  <w:sz w:val="28"/>
                  <w:rtl/>
                </w:rPr>
                <w:alias w:val="1486"/>
                <w:tag w:val="1486"/>
                <w:id w:val="1487590763"/>
                <w:text w:multiLine="1"/>
              </w:sdtPr>
              <w:sdtEndPr/>
              <w:sdtContent>
                <w:r w:rsidR="00AD2FC2">
                  <w:rPr>
                    <w:rFonts w:hint="cs"/>
                    <w:b/>
                    <w:bCs/>
                    <w:noProof w:val="0"/>
                    <w:sz w:val="28"/>
                    <w:rtl/>
                  </w:rPr>
                  <w:t>ו' ז'</w:t>
                </w:r>
                <w:r w:rsidR="00FB3C14">
                  <w:rPr>
                    <w:rFonts w:hint="cs"/>
                    <w:b/>
                    <w:bCs/>
                    <w:noProof w:val="0"/>
                    <w:sz w:val="28"/>
                    <w:rtl/>
                  </w:rPr>
                  <w:t xml:space="preserve"> ש</w:t>
                </w:r>
                <w:r w:rsidR="00AD2FC2">
                  <w:rPr>
                    <w:rFonts w:hint="cs"/>
                    <w:b/>
                    <w:bCs/>
                    <w:noProof w:val="0"/>
                    <w:sz w:val="28"/>
                    <w:rtl/>
                  </w:rPr>
                  <w:t>'</w:t>
                </w:r>
              </w:sdtContent>
            </w:sdt>
            <w:r w:rsidR="009C358E" w:rsidRPr="009C358E">
              <w:rPr>
                <w:rFonts w:hint="cs"/>
                <w:b/>
                <w:bCs/>
                <w:noProof w:val="0"/>
                <w:sz w:val="28"/>
                <w:rtl/>
              </w:rPr>
              <w:t xml:space="preserve"> </w:t>
            </w:r>
          </w:p>
          <w:p w:rsidR="006816EC" w:rsidRDefault="006816EC" w:rsidP="000D324B">
            <w:pPr>
              <w:tabs>
                <w:tab w:val="left" w:pos="425"/>
              </w:tabs>
              <w:ind w:firstLine="283"/>
              <w:rPr>
                <w:rFonts w:ascii="Arial (W1)" w:hAnsi="Arial (W1)"/>
                <w:b/>
                <w:bCs/>
                <w:noProof w:val="0"/>
                <w:sz w:val="28"/>
                <w:szCs w:val="28"/>
              </w:rPr>
            </w:pPr>
          </w:p>
        </w:tc>
      </w:tr>
      <w:tr w:rsidR="00D36A71" w:rsidTr="00A94B1C">
        <w:trPr>
          <w:jc w:val="center"/>
        </w:trPr>
        <w:tc>
          <w:tcPr>
            <w:tcW w:w="8820" w:type="dxa"/>
            <w:gridSpan w:val="3"/>
          </w:tcPr>
          <w:p w:rsidR="00D36A71" w:rsidRDefault="00D36A71" w:rsidP="000D324B">
            <w:pPr>
              <w:tabs>
                <w:tab w:val="left" w:pos="425"/>
              </w:tabs>
              <w:ind w:firstLine="283"/>
              <w:rPr>
                <w:rFonts w:ascii="Arial (W1)" w:hAnsi="Arial (W1)"/>
                <w:b/>
                <w:bCs/>
                <w:noProof w:val="0"/>
                <w:sz w:val="28"/>
                <w:szCs w:val="28"/>
                <w:rtl/>
              </w:rPr>
            </w:pPr>
          </w:p>
        </w:tc>
      </w:tr>
      <w:tr w:rsidR="00D36A71" w:rsidTr="00477AEA">
        <w:trPr>
          <w:jc w:val="center"/>
        </w:trPr>
        <w:tc>
          <w:tcPr>
            <w:tcW w:w="3342" w:type="dxa"/>
            <w:gridSpan w:val="2"/>
          </w:tcPr>
          <w:p w:rsidR="008B4EDD" w:rsidRDefault="008B4EDD" w:rsidP="000D324B">
            <w:pPr>
              <w:tabs>
                <w:tab w:val="left" w:pos="425"/>
              </w:tabs>
              <w:ind w:firstLine="283"/>
              <w:rPr>
                <w:rFonts w:ascii="David" w:eastAsia="David" w:hAnsi="David"/>
                <w:noProof w:val="0"/>
              </w:rPr>
            </w:pPr>
          </w:p>
        </w:tc>
        <w:tc>
          <w:tcPr>
            <w:tcW w:w="5478" w:type="dxa"/>
          </w:tcPr>
          <w:p w:rsidR="008B4EDD" w:rsidRDefault="008B4EDD" w:rsidP="000D324B">
            <w:pPr>
              <w:tabs>
                <w:tab w:val="left" w:pos="425"/>
              </w:tabs>
              <w:ind w:firstLine="283"/>
              <w:rPr>
                <w:rFonts w:cs="Times New Roman"/>
              </w:rPr>
            </w:pPr>
          </w:p>
        </w:tc>
      </w:tr>
      <w:tr w:rsidR="00694556">
        <w:trPr>
          <w:jc w:val="center"/>
        </w:trPr>
        <w:tc>
          <w:tcPr>
            <w:tcW w:w="8820" w:type="dxa"/>
            <w:gridSpan w:val="3"/>
          </w:tcPr>
          <w:p w:rsidR="00694556" w:rsidRDefault="00005C8B" w:rsidP="000D324B">
            <w:pPr>
              <w:tabs>
                <w:tab w:val="left" w:pos="425"/>
              </w:tabs>
              <w:bidi w:val="0"/>
              <w:ind w:firstLine="283"/>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rsidP="000D324B">
      <w:pPr>
        <w:tabs>
          <w:tab w:val="left" w:pos="425"/>
        </w:tabs>
        <w:spacing w:line="360" w:lineRule="auto"/>
        <w:ind w:firstLine="283"/>
        <w:jc w:val="both"/>
        <w:rPr>
          <w:rFonts w:ascii="Arial" w:hAnsi="Arial"/>
          <w:noProof w:val="0"/>
          <w:rtl/>
        </w:rPr>
      </w:pPr>
    </w:p>
    <w:p w:rsidR="000D324B" w:rsidRDefault="000D324B" w:rsidP="000D324B">
      <w:pPr>
        <w:pStyle w:val="ad"/>
        <w:numPr>
          <w:ilvl w:val="0"/>
          <w:numId w:val="1"/>
        </w:numPr>
        <w:tabs>
          <w:tab w:val="left" w:pos="425"/>
        </w:tabs>
        <w:spacing w:line="360" w:lineRule="auto"/>
        <w:ind w:left="0" w:firstLine="283"/>
        <w:jc w:val="both"/>
        <w:rPr>
          <w:rFonts w:ascii="David" w:hAnsi="David" w:cs="David"/>
          <w:sz w:val="24"/>
          <w:szCs w:val="24"/>
        </w:rPr>
      </w:pPr>
      <w:r>
        <w:rPr>
          <w:rFonts w:ascii="David" w:hAnsi="David" w:cs="David"/>
          <w:sz w:val="24"/>
          <w:szCs w:val="24"/>
          <w:rtl/>
        </w:rPr>
        <w:t>בפניי 2 תביעות:</w:t>
      </w:r>
    </w:p>
    <w:p w:rsidR="000D324B" w:rsidRPr="000D324B" w:rsidRDefault="000D324B" w:rsidP="006172AD">
      <w:pPr>
        <w:pStyle w:val="ad"/>
        <w:numPr>
          <w:ilvl w:val="0"/>
          <w:numId w:val="9"/>
        </w:numPr>
        <w:tabs>
          <w:tab w:val="left" w:pos="425"/>
          <w:tab w:val="left" w:pos="850"/>
          <w:tab w:val="left" w:pos="1134"/>
        </w:tabs>
        <w:spacing w:line="360" w:lineRule="auto"/>
        <w:ind w:firstLine="65"/>
        <w:jc w:val="both"/>
        <w:rPr>
          <w:rFonts w:ascii="David" w:hAnsi="David" w:cs="David"/>
          <w:b/>
          <w:bCs/>
          <w:sz w:val="24"/>
          <w:szCs w:val="24"/>
          <w:rtl/>
        </w:rPr>
      </w:pPr>
      <w:r w:rsidRPr="000D324B">
        <w:rPr>
          <w:rFonts w:ascii="David" w:hAnsi="David" w:cs="David"/>
          <w:b/>
          <w:bCs/>
          <w:sz w:val="24"/>
          <w:szCs w:val="24"/>
          <w:rtl/>
        </w:rPr>
        <w:t>תביעה לביטול הסכם, שהוגשה על ידי התובעת כנגד הנתבע, בתלה"מ 26656-06-22.</w:t>
      </w:r>
    </w:p>
    <w:p w:rsidR="000D324B" w:rsidRPr="000D324B" w:rsidRDefault="000D324B" w:rsidP="006172AD">
      <w:pPr>
        <w:pStyle w:val="ad"/>
        <w:numPr>
          <w:ilvl w:val="0"/>
          <w:numId w:val="9"/>
        </w:numPr>
        <w:tabs>
          <w:tab w:val="left" w:pos="425"/>
          <w:tab w:val="left" w:pos="850"/>
          <w:tab w:val="left" w:pos="1134"/>
        </w:tabs>
        <w:spacing w:line="360" w:lineRule="auto"/>
        <w:ind w:firstLine="65"/>
        <w:jc w:val="both"/>
        <w:rPr>
          <w:rFonts w:ascii="David" w:hAnsi="David" w:cs="David"/>
          <w:b/>
          <w:bCs/>
          <w:sz w:val="24"/>
          <w:szCs w:val="24"/>
          <w:rtl/>
        </w:rPr>
      </w:pPr>
      <w:r w:rsidRPr="000D324B">
        <w:rPr>
          <w:rFonts w:ascii="David" w:hAnsi="David" w:cs="David"/>
          <w:b/>
          <w:bCs/>
          <w:sz w:val="24"/>
          <w:szCs w:val="24"/>
          <w:rtl/>
        </w:rPr>
        <w:t>תביעת מזונות קטינים, שהוגשה על ידי התובעת</w:t>
      </w:r>
      <w:r w:rsidR="00477AEA">
        <w:rPr>
          <w:rFonts w:ascii="David" w:hAnsi="David" w:cs="David" w:hint="cs"/>
          <w:b/>
          <w:bCs/>
          <w:sz w:val="24"/>
          <w:szCs w:val="24"/>
          <w:rtl/>
        </w:rPr>
        <w:t xml:space="preserve"> כנגד הנתבע</w:t>
      </w:r>
      <w:r w:rsidRPr="000D324B">
        <w:rPr>
          <w:rFonts w:ascii="David" w:hAnsi="David" w:cs="David"/>
          <w:b/>
          <w:bCs/>
          <w:sz w:val="24"/>
          <w:szCs w:val="24"/>
          <w:rtl/>
        </w:rPr>
        <w:t>, בתלה"מ 25985-06-22</w:t>
      </w:r>
      <w:r w:rsidR="006172AD">
        <w:rPr>
          <w:rFonts w:ascii="David" w:hAnsi="David" w:cs="David" w:hint="cs"/>
          <w:b/>
          <w:bCs/>
          <w:sz w:val="24"/>
          <w:szCs w:val="24"/>
          <w:rtl/>
        </w:rPr>
        <w:t>.</w:t>
      </w:r>
    </w:p>
    <w:p w:rsidR="000D324B" w:rsidRDefault="000D324B" w:rsidP="000D324B">
      <w:pPr>
        <w:tabs>
          <w:tab w:val="left" w:pos="425"/>
        </w:tabs>
        <w:spacing w:line="360" w:lineRule="auto"/>
        <w:ind w:firstLine="283"/>
        <w:jc w:val="both"/>
        <w:rPr>
          <w:rFonts w:ascii="David" w:hAnsi="David"/>
          <w:b/>
          <w:bCs/>
          <w:sz w:val="26"/>
          <w:szCs w:val="26"/>
          <w:u w:val="single"/>
          <w:rtl/>
        </w:rPr>
      </w:pPr>
      <w:r>
        <w:rPr>
          <w:rFonts w:ascii="David" w:hAnsi="David"/>
          <w:b/>
          <w:bCs/>
          <w:sz w:val="26"/>
          <w:szCs w:val="26"/>
          <w:u w:val="single"/>
          <w:rtl/>
        </w:rPr>
        <w:t>רקע עובדתי בתמצית:</w:t>
      </w:r>
    </w:p>
    <w:p w:rsidR="000D324B" w:rsidRDefault="000D324B" w:rsidP="000D324B">
      <w:pPr>
        <w:pStyle w:val="ad"/>
        <w:numPr>
          <w:ilvl w:val="0"/>
          <w:numId w:val="1"/>
        </w:numPr>
        <w:tabs>
          <w:tab w:val="left" w:pos="425"/>
        </w:tabs>
        <w:spacing w:line="360" w:lineRule="auto"/>
        <w:ind w:left="0" w:firstLine="283"/>
        <w:jc w:val="both"/>
        <w:rPr>
          <w:rFonts w:ascii="David" w:hAnsi="David" w:cs="David"/>
          <w:sz w:val="24"/>
          <w:szCs w:val="24"/>
          <w:rtl/>
        </w:rPr>
      </w:pPr>
      <w:r>
        <w:rPr>
          <w:rFonts w:ascii="David" w:hAnsi="David" w:cs="David"/>
          <w:sz w:val="24"/>
          <w:szCs w:val="24"/>
          <w:rtl/>
        </w:rPr>
        <w:t>הצדדים נישאו ביום 11.2.2010 ומנישואיהם נולדו להם 2 ילדים:</w:t>
      </w:r>
    </w:p>
    <w:p w:rsidR="000D324B" w:rsidRDefault="00BD69BB" w:rsidP="006623AD">
      <w:pPr>
        <w:pStyle w:val="ad"/>
        <w:tabs>
          <w:tab w:val="left" w:pos="425"/>
        </w:tabs>
        <w:spacing w:line="360" w:lineRule="auto"/>
        <w:ind w:left="0" w:firstLine="283"/>
        <w:jc w:val="both"/>
        <w:rPr>
          <w:rFonts w:ascii="David" w:hAnsi="David" w:cs="David"/>
          <w:sz w:val="24"/>
          <w:szCs w:val="24"/>
        </w:rPr>
      </w:pPr>
      <w:r>
        <w:rPr>
          <w:rFonts w:ascii="David" w:hAnsi="David" w:cs="David"/>
          <w:sz w:val="24"/>
          <w:szCs w:val="24"/>
          <w:rtl/>
        </w:rPr>
        <w:tab/>
      </w:r>
      <w:r>
        <w:rPr>
          <w:rFonts w:ascii="David" w:hAnsi="David" w:cs="David"/>
          <w:sz w:val="24"/>
          <w:szCs w:val="24"/>
          <w:rtl/>
        </w:rPr>
        <w:tab/>
        <w:t>נ</w:t>
      </w:r>
      <w:r>
        <w:rPr>
          <w:rFonts w:ascii="David" w:hAnsi="David" w:cs="David" w:hint="cs"/>
          <w:sz w:val="24"/>
          <w:szCs w:val="24"/>
          <w:rtl/>
        </w:rPr>
        <w:t>'</w:t>
      </w:r>
      <w:r>
        <w:rPr>
          <w:rFonts w:ascii="David" w:hAnsi="David" w:cs="David"/>
          <w:sz w:val="24"/>
          <w:szCs w:val="24"/>
          <w:rtl/>
        </w:rPr>
        <w:t xml:space="preserve"> ש</w:t>
      </w:r>
      <w:r>
        <w:rPr>
          <w:rFonts w:ascii="David" w:hAnsi="David" w:cs="David" w:hint="cs"/>
          <w:sz w:val="24"/>
          <w:szCs w:val="24"/>
          <w:rtl/>
        </w:rPr>
        <w:t>'</w:t>
      </w:r>
      <w:r w:rsidR="000D324B">
        <w:rPr>
          <w:rFonts w:ascii="David" w:hAnsi="David" w:cs="David"/>
          <w:sz w:val="24"/>
          <w:szCs w:val="24"/>
          <w:rtl/>
        </w:rPr>
        <w:t xml:space="preserve">, ילידת </w:t>
      </w:r>
      <w:r w:rsidR="006623AD">
        <w:rPr>
          <w:rFonts w:ascii="David" w:hAnsi="David" w:cs="David"/>
          <w:sz w:val="24"/>
          <w:szCs w:val="24"/>
        </w:rPr>
        <w:t>x/x/2010</w:t>
      </w:r>
      <w:r w:rsidR="000D324B">
        <w:rPr>
          <w:rFonts w:ascii="David" w:hAnsi="David" w:cs="David"/>
          <w:sz w:val="24"/>
          <w:szCs w:val="24"/>
          <w:rtl/>
        </w:rPr>
        <w:t xml:space="preserve"> – קטינה כבת 14 בעת מתן פסק דין זה.</w:t>
      </w:r>
    </w:p>
    <w:p w:rsidR="000D324B" w:rsidRDefault="00BD69BB" w:rsidP="006623AD">
      <w:pPr>
        <w:pStyle w:val="ad"/>
        <w:tabs>
          <w:tab w:val="left" w:pos="425"/>
        </w:tabs>
        <w:spacing w:line="360" w:lineRule="auto"/>
        <w:ind w:left="0" w:firstLine="283"/>
        <w:jc w:val="both"/>
        <w:rPr>
          <w:rFonts w:ascii="David" w:hAnsi="David" w:cs="David"/>
          <w:sz w:val="24"/>
          <w:szCs w:val="24"/>
          <w:rtl/>
        </w:rPr>
      </w:pPr>
      <w:r>
        <w:rPr>
          <w:rFonts w:ascii="David" w:hAnsi="David" w:cs="David"/>
          <w:sz w:val="24"/>
          <w:szCs w:val="24"/>
          <w:rtl/>
        </w:rPr>
        <w:tab/>
      </w:r>
      <w:r>
        <w:rPr>
          <w:rFonts w:ascii="David" w:hAnsi="David" w:cs="David"/>
          <w:sz w:val="24"/>
          <w:szCs w:val="24"/>
          <w:rtl/>
        </w:rPr>
        <w:tab/>
        <w:t>י</w:t>
      </w:r>
      <w:r>
        <w:rPr>
          <w:rFonts w:ascii="David" w:hAnsi="David" w:cs="David" w:hint="cs"/>
          <w:sz w:val="24"/>
          <w:szCs w:val="24"/>
          <w:rtl/>
        </w:rPr>
        <w:t>'</w:t>
      </w:r>
      <w:r>
        <w:rPr>
          <w:rFonts w:ascii="David" w:hAnsi="David" w:cs="David"/>
          <w:sz w:val="24"/>
          <w:szCs w:val="24"/>
          <w:rtl/>
        </w:rPr>
        <w:t xml:space="preserve"> ש</w:t>
      </w:r>
      <w:r>
        <w:rPr>
          <w:rFonts w:ascii="David" w:hAnsi="David" w:cs="David" w:hint="cs"/>
          <w:sz w:val="24"/>
          <w:szCs w:val="24"/>
          <w:rtl/>
        </w:rPr>
        <w:t>'</w:t>
      </w:r>
      <w:r w:rsidR="000D324B">
        <w:rPr>
          <w:rFonts w:ascii="David" w:hAnsi="David" w:cs="David"/>
          <w:sz w:val="24"/>
          <w:szCs w:val="24"/>
          <w:rtl/>
        </w:rPr>
        <w:t xml:space="preserve">, יליד </w:t>
      </w:r>
      <w:r w:rsidR="006623AD">
        <w:rPr>
          <w:rFonts w:ascii="David" w:hAnsi="David" w:cs="David"/>
          <w:sz w:val="24"/>
          <w:szCs w:val="24"/>
        </w:rPr>
        <w:t>x/x/2014</w:t>
      </w:r>
      <w:r w:rsidR="000D324B">
        <w:rPr>
          <w:rFonts w:ascii="David" w:hAnsi="David" w:cs="David"/>
          <w:sz w:val="24"/>
          <w:szCs w:val="24"/>
          <w:rtl/>
        </w:rPr>
        <w:t xml:space="preserve"> – קטין כבן 10.5 בעת מתן פסק דין זה.</w:t>
      </w:r>
    </w:p>
    <w:p w:rsidR="000D324B" w:rsidRDefault="000D324B" w:rsidP="000D324B">
      <w:pPr>
        <w:pStyle w:val="ad"/>
        <w:tabs>
          <w:tab w:val="left" w:pos="425"/>
        </w:tabs>
        <w:spacing w:line="360" w:lineRule="auto"/>
        <w:ind w:left="0" w:firstLine="283"/>
        <w:jc w:val="both"/>
        <w:rPr>
          <w:rFonts w:ascii="David" w:hAnsi="David" w:cs="David"/>
          <w:sz w:val="24"/>
          <w:szCs w:val="24"/>
          <w:rtl/>
        </w:rPr>
      </w:pPr>
      <w:r>
        <w:rPr>
          <w:rFonts w:ascii="David" w:hAnsi="David" w:cs="David"/>
          <w:sz w:val="24"/>
          <w:szCs w:val="24"/>
          <w:rtl/>
        </w:rPr>
        <w:tab/>
      </w:r>
      <w:r>
        <w:rPr>
          <w:rFonts w:ascii="David" w:hAnsi="David" w:cs="David"/>
          <w:sz w:val="24"/>
          <w:szCs w:val="24"/>
          <w:rtl/>
        </w:rPr>
        <w:tab/>
        <w:t>(להלן: "</w:t>
      </w:r>
      <w:r>
        <w:rPr>
          <w:rFonts w:ascii="David" w:hAnsi="David" w:cs="David"/>
          <w:b/>
          <w:bCs/>
          <w:sz w:val="24"/>
          <w:szCs w:val="24"/>
          <w:rtl/>
        </w:rPr>
        <w:t>הקטינים</w:t>
      </w:r>
      <w:r>
        <w:rPr>
          <w:rFonts w:ascii="David" w:hAnsi="David" w:cs="David"/>
          <w:sz w:val="24"/>
          <w:szCs w:val="24"/>
          <w:rtl/>
        </w:rPr>
        <w:t>" ו/או "</w:t>
      </w:r>
      <w:r>
        <w:rPr>
          <w:rFonts w:ascii="David" w:hAnsi="David" w:cs="David"/>
          <w:b/>
          <w:bCs/>
          <w:sz w:val="24"/>
          <w:szCs w:val="24"/>
          <w:rtl/>
        </w:rPr>
        <w:t>הילדים</w:t>
      </w:r>
      <w:r>
        <w:rPr>
          <w:rFonts w:ascii="David" w:hAnsi="David" w:cs="David"/>
          <w:sz w:val="24"/>
          <w:szCs w:val="24"/>
          <w:rtl/>
        </w:rPr>
        <w:t>").</w:t>
      </w:r>
    </w:p>
    <w:p w:rsidR="000D324B" w:rsidRDefault="000D324B" w:rsidP="00BD69BB">
      <w:pPr>
        <w:pStyle w:val="ad"/>
        <w:numPr>
          <w:ilvl w:val="0"/>
          <w:numId w:val="1"/>
        </w:numPr>
        <w:tabs>
          <w:tab w:val="left" w:pos="425"/>
        </w:tabs>
        <w:spacing w:line="360" w:lineRule="auto"/>
        <w:ind w:hanging="437"/>
        <w:jc w:val="both"/>
        <w:rPr>
          <w:rFonts w:ascii="David" w:hAnsi="David" w:cs="David"/>
          <w:sz w:val="24"/>
          <w:szCs w:val="24"/>
          <w:rtl/>
        </w:rPr>
      </w:pPr>
      <w:r>
        <w:rPr>
          <w:rFonts w:ascii="David" w:hAnsi="David" w:cs="David"/>
          <w:sz w:val="24"/>
          <w:szCs w:val="24"/>
          <w:rtl/>
        </w:rPr>
        <w:t xml:space="preserve">התובעת עובדת </w:t>
      </w:r>
      <w:r w:rsidR="00BD69BB">
        <w:rPr>
          <w:rFonts w:ascii="David" w:hAnsi="David" w:cs="David"/>
          <w:sz w:val="24"/>
          <w:szCs w:val="24"/>
          <w:rtl/>
        </w:rPr>
        <w:t xml:space="preserve">במחלקת הנהלת חשבונות בחברת </w:t>
      </w:r>
      <w:r w:rsidR="00BD69BB">
        <w:rPr>
          <w:rFonts w:ascii="David" w:hAnsi="David" w:cs="David" w:hint="cs"/>
          <w:sz w:val="24"/>
          <w:szCs w:val="24"/>
          <w:rtl/>
        </w:rPr>
        <w:t>----</w:t>
      </w:r>
      <w:r>
        <w:rPr>
          <w:rFonts w:ascii="David" w:hAnsi="David" w:cs="David"/>
          <w:sz w:val="24"/>
          <w:szCs w:val="24"/>
          <w:rtl/>
        </w:rPr>
        <w:t>. הנתבע א</w:t>
      </w:r>
      <w:r w:rsidR="00BD69BB">
        <w:rPr>
          <w:rFonts w:ascii="David" w:hAnsi="David" w:cs="David"/>
          <w:sz w:val="24"/>
          <w:szCs w:val="24"/>
          <w:rtl/>
        </w:rPr>
        <w:t>ח מוסמך אשר עובד במרכז הרפואי "</w:t>
      </w:r>
      <w:r w:rsidR="00BD69BB">
        <w:rPr>
          <w:rFonts w:ascii="David" w:hAnsi="David" w:cs="David" w:hint="cs"/>
          <w:sz w:val="24"/>
          <w:szCs w:val="24"/>
          <w:rtl/>
        </w:rPr>
        <w:t>----</w:t>
      </w:r>
      <w:r>
        <w:rPr>
          <w:rFonts w:ascii="David" w:hAnsi="David" w:cs="David"/>
          <w:sz w:val="24"/>
          <w:szCs w:val="24"/>
          <w:rtl/>
        </w:rPr>
        <w:t xml:space="preserve"> </w:t>
      </w:r>
      <w:r w:rsidR="00BD69BB">
        <w:rPr>
          <w:rFonts w:ascii="David" w:hAnsi="David" w:cs="David" w:hint="cs"/>
          <w:sz w:val="24"/>
          <w:szCs w:val="24"/>
          <w:rtl/>
        </w:rPr>
        <w:t>---</w:t>
      </w:r>
      <w:r w:rsidR="00BD69BB">
        <w:rPr>
          <w:rFonts w:ascii="David" w:hAnsi="David" w:cs="David"/>
          <w:sz w:val="24"/>
          <w:szCs w:val="24"/>
          <w:rtl/>
        </w:rPr>
        <w:t>" ב</w:t>
      </w:r>
      <w:r w:rsidR="00BD69BB">
        <w:rPr>
          <w:rFonts w:ascii="David" w:hAnsi="David" w:cs="David" w:hint="cs"/>
          <w:sz w:val="24"/>
          <w:szCs w:val="24"/>
          <w:rtl/>
        </w:rPr>
        <w:t>----</w:t>
      </w:r>
      <w:r>
        <w:rPr>
          <w:rFonts w:ascii="David" w:hAnsi="David" w:cs="David"/>
          <w:sz w:val="24"/>
          <w:szCs w:val="24"/>
          <w:rtl/>
        </w:rPr>
        <w:t>.</w:t>
      </w:r>
    </w:p>
    <w:p w:rsidR="000D324B" w:rsidRDefault="000D324B" w:rsidP="000D324B">
      <w:pPr>
        <w:pStyle w:val="ad"/>
        <w:numPr>
          <w:ilvl w:val="0"/>
          <w:numId w:val="1"/>
        </w:numPr>
        <w:tabs>
          <w:tab w:val="left" w:pos="425"/>
        </w:tabs>
        <w:spacing w:line="360" w:lineRule="auto"/>
        <w:ind w:hanging="437"/>
        <w:jc w:val="both"/>
        <w:rPr>
          <w:rFonts w:ascii="David" w:hAnsi="David" w:cs="David"/>
          <w:sz w:val="24"/>
          <w:szCs w:val="24"/>
          <w:rtl/>
        </w:rPr>
      </w:pPr>
      <w:r w:rsidRPr="00477AEA">
        <w:rPr>
          <w:rFonts w:ascii="David" w:hAnsi="David" w:cs="David"/>
          <w:b/>
          <w:bCs/>
          <w:sz w:val="24"/>
          <w:szCs w:val="24"/>
          <w:rtl/>
        </w:rPr>
        <w:t xml:space="preserve">ביום 11.6.2013 </w:t>
      </w:r>
      <w:r>
        <w:rPr>
          <w:rFonts w:ascii="David" w:hAnsi="David" w:cs="David"/>
          <w:sz w:val="24"/>
          <w:szCs w:val="24"/>
          <w:rtl/>
        </w:rPr>
        <w:t>חתמו הצדדים על הסכם "</w:t>
      </w:r>
      <w:r>
        <w:rPr>
          <w:rFonts w:ascii="David" w:hAnsi="David" w:cs="David"/>
          <w:b/>
          <w:bCs/>
          <w:sz w:val="24"/>
          <w:szCs w:val="24"/>
          <w:rtl/>
        </w:rPr>
        <w:t>חיי נישואין</w:t>
      </w:r>
      <w:r>
        <w:rPr>
          <w:rFonts w:ascii="David" w:hAnsi="David" w:cs="David"/>
          <w:sz w:val="24"/>
          <w:szCs w:val="24"/>
          <w:rtl/>
        </w:rPr>
        <w:t>" שאושר על ידי בית המשפט ביום 14.7.2013 (יקרא להלן: "</w:t>
      </w:r>
      <w:r>
        <w:rPr>
          <w:rFonts w:ascii="David" w:hAnsi="David" w:cs="David"/>
          <w:b/>
          <w:bCs/>
          <w:sz w:val="24"/>
          <w:szCs w:val="24"/>
          <w:rtl/>
        </w:rPr>
        <w:t>הסכם הממון</w:t>
      </w:r>
      <w:r>
        <w:rPr>
          <w:rFonts w:ascii="David" w:hAnsi="David" w:cs="David"/>
          <w:sz w:val="24"/>
          <w:szCs w:val="24"/>
          <w:rtl/>
        </w:rPr>
        <w:t>").</w:t>
      </w:r>
    </w:p>
    <w:p w:rsidR="000D324B" w:rsidRDefault="000D324B" w:rsidP="00BD69BB">
      <w:pPr>
        <w:pStyle w:val="ad"/>
        <w:numPr>
          <w:ilvl w:val="0"/>
          <w:numId w:val="1"/>
        </w:numPr>
        <w:tabs>
          <w:tab w:val="left" w:pos="425"/>
        </w:tabs>
        <w:spacing w:line="360" w:lineRule="auto"/>
        <w:ind w:hanging="437"/>
        <w:jc w:val="both"/>
        <w:rPr>
          <w:rFonts w:ascii="David" w:hAnsi="David" w:cs="David"/>
          <w:sz w:val="24"/>
          <w:szCs w:val="24"/>
        </w:rPr>
      </w:pPr>
      <w:r w:rsidRPr="00477AEA">
        <w:rPr>
          <w:rFonts w:ascii="David" w:hAnsi="David" w:cs="David"/>
          <w:b/>
          <w:bCs/>
          <w:sz w:val="24"/>
          <w:szCs w:val="24"/>
          <w:rtl/>
        </w:rPr>
        <w:t xml:space="preserve">ביום 15.7.2013 </w:t>
      </w:r>
      <w:r>
        <w:rPr>
          <w:rFonts w:ascii="David" w:hAnsi="David" w:cs="David"/>
          <w:sz w:val="24"/>
          <w:szCs w:val="24"/>
          <w:rtl/>
        </w:rPr>
        <w:t xml:space="preserve">חתמו הצדדים על הסכם רכישת דירת מגורים המצויה ברחוב שמורת </w:t>
      </w:r>
      <w:r w:rsidR="00BD69BB">
        <w:rPr>
          <w:rFonts w:ascii="David" w:hAnsi="David" w:cs="David" w:hint="cs"/>
          <w:sz w:val="24"/>
          <w:szCs w:val="24"/>
          <w:rtl/>
        </w:rPr>
        <w:t>---</w:t>
      </w:r>
      <w:r>
        <w:rPr>
          <w:rFonts w:ascii="David" w:hAnsi="David" w:cs="David"/>
          <w:sz w:val="24"/>
          <w:szCs w:val="24"/>
          <w:rtl/>
        </w:rPr>
        <w:t xml:space="preserve"> </w:t>
      </w:r>
      <w:r w:rsidR="00BD69BB">
        <w:rPr>
          <w:rFonts w:ascii="David" w:hAnsi="David" w:cs="David" w:hint="cs"/>
          <w:sz w:val="24"/>
          <w:szCs w:val="24"/>
          <w:rtl/>
        </w:rPr>
        <w:t>------</w:t>
      </w:r>
      <w:r>
        <w:rPr>
          <w:rFonts w:ascii="David" w:hAnsi="David" w:cs="David"/>
          <w:sz w:val="24"/>
          <w:szCs w:val="24"/>
          <w:rtl/>
        </w:rPr>
        <w:t xml:space="preserve"> ב</w:t>
      </w:r>
      <w:r w:rsidR="00BD69BB">
        <w:rPr>
          <w:rFonts w:ascii="David" w:hAnsi="David" w:cs="David" w:hint="cs"/>
          <w:sz w:val="24"/>
          <w:szCs w:val="24"/>
          <w:rtl/>
        </w:rPr>
        <w:t>----</w:t>
      </w:r>
      <w:r>
        <w:rPr>
          <w:rFonts w:ascii="David" w:hAnsi="David" w:cs="David"/>
          <w:sz w:val="24"/>
          <w:szCs w:val="24"/>
          <w:rtl/>
        </w:rPr>
        <w:t xml:space="preserve"> (להלן: "</w:t>
      </w:r>
      <w:r>
        <w:rPr>
          <w:rFonts w:ascii="David" w:hAnsi="David" w:cs="David"/>
          <w:b/>
          <w:bCs/>
          <w:sz w:val="24"/>
          <w:szCs w:val="24"/>
          <w:rtl/>
        </w:rPr>
        <w:t>דירת המגורים</w:t>
      </w:r>
      <w:r>
        <w:rPr>
          <w:rFonts w:ascii="David" w:hAnsi="David" w:cs="David"/>
          <w:sz w:val="24"/>
          <w:szCs w:val="24"/>
          <w:rtl/>
        </w:rPr>
        <w:t>").</w:t>
      </w:r>
    </w:p>
    <w:p w:rsidR="000D324B" w:rsidRDefault="000D324B" w:rsidP="007D0D07">
      <w:pPr>
        <w:pStyle w:val="ad"/>
        <w:numPr>
          <w:ilvl w:val="0"/>
          <w:numId w:val="1"/>
        </w:numPr>
        <w:tabs>
          <w:tab w:val="left" w:pos="425"/>
        </w:tabs>
        <w:spacing w:line="360" w:lineRule="auto"/>
        <w:ind w:hanging="437"/>
        <w:jc w:val="both"/>
        <w:rPr>
          <w:rFonts w:ascii="David" w:hAnsi="David" w:cs="David"/>
          <w:sz w:val="24"/>
          <w:szCs w:val="24"/>
        </w:rPr>
      </w:pPr>
      <w:r w:rsidRPr="00477AEA">
        <w:rPr>
          <w:rFonts w:ascii="David" w:hAnsi="David" w:cs="David"/>
          <w:b/>
          <w:bCs/>
          <w:sz w:val="24"/>
          <w:szCs w:val="24"/>
          <w:rtl/>
        </w:rPr>
        <w:t>בשנת 2013</w:t>
      </w:r>
      <w:r>
        <w:rPr>
          <w:rFonts w:ascii="David" w:hAnsi="David" w:cs="David"/>
          <w:sz w:val="24"/>
          <w:szCs w:val="24"/>
          <w:rtl/>
        </w:rPr>
        <w:t xml:space="preserve"> נטלו הצדדים משכנתא מבנק </w:t>
      </w:r>
      <w:r w:rsidR="007D0D07">
        <w:rPr>
          <w:rFonts w:ascii="David" w:hAnsi="David" w:cs="David" w:hint="cs"/>
          <w:sz w:val="24"/>
          <w:szCs w:val="24"/>
          <w:rtl/>
        </w:rPr>
        <w:t>מזרחי טפחות</w:t>
      </w:r>
      <w:r>
        <w:rPr>
          <w:rFonts w:ascii="David" w:hAnsi="David" w:cs="David"/>
          <w:sz w:val="24"/>
          <w:szCs w:val="24"/>
          <w:rtl/>
        </w:rPr>
        <w:t xml:space="preserve"> ע"ס 600,000 ₪ (להלן: "</w:t>
      </w:r>
      <w:r>
        <w:rPr>
          <w:rFonts w:ascii="David" w:hAnsi="David" w:cs="David"/>
          <w:b/>
          <w:bCs/>
          <w:sz w:val="24"/>
          <w:szCs w:val="24"/>
          <w:rtl/>
        </w:rPr>
        <w:t>המשכנתא</w:t>
      </w:r>
      <w:r>
        <w:rPr>
          <w:rFonts w:ascii="David" w:hAnsi="David" w:cs="David"/>
          <w:sz w:val="24"/>
          <w:szCs w:val="24"/>
          <w:rtl/>
        </w:rPr>
        <w:t>").</w:t>
      </w:r>
    </w:p>
    <w:p w:rsidR="000D324B" w:rsidRDefault="000D324B" w:rsidP="000D324B">
      <w:pPr>
        <w:pStyle w:val="ad"/>
        <w:numPr>
          <w:ilvl w:val="0"/>
          <w:numId w:val="1"/>
        </w:numPr>
        <w:tabs>
          <w:tab w:val="left" w:pos="425"/>
        </w:tabs>
        <w:spacing w:line="360" w:lineRule="auto"/>
        <w:ind w:left="0" w:firstLine="283"/>
        <w:jc w:val="both"/>
        <w:rPr>
          <w:rFonts w:ascii="David" w:hAnsi="David" w:cs="David"/>
          <w:sz w:val="24"/>
          <w:szCs w:val="24"/>
        </w:rPr>
      </w:pPr>
      <w:r>
        <w:rPr>
          <w:rFonts w:ascii="David" w:hAnsi="David" w:cs="David"/>
          <w:sz w:val="24"/>
          <w:szCs w:val="24"/>
          <w:rtl/>
        </w:rPr>
        <w:t>הצדדים ניהלו חשבון בנק משותף, אליו הפקידו את משכורתם.</w:t>
      </w:r>
    </w:p>
    <w:p w:rsidR="000D324B" w:rsidRDefault="000D324B" w:rsidP="000D324B">
      <w:pPr>
        <w:pStyle w:val="ad"/>
        <w:numPr>
          <w:ilvl w:val="0"/>
          <w:numId w:val="1"/>
        </w:numPr>
        <w:tabs>
          <w:tab w:val="left" w:pos="425"/>
        </w:tabs>
        <w:spacing w:line="360" w:lineRule="auto"/>
        <w:ind w:hanging="437"/>
        <w:jc w:val="both"/>
        <w:rPr>
          <w:rFonts w:ascii="David" w:hAnsi="David" w:cs="David"/>
          <w:sz w:val="24"/>
          <w:szCs w:val="24"/>
        </w:rPr>
      </w:pPr>
      <w:r w:rsidRPr="00477AEA">
        <w:rPr>
          <w:rFonts w:ascii="David" w:hAnsi="David" w:cs="David"/>
          <w:b/>
          <w:bCs/>
          <w:sz w:val="24"/>
          <w:szCs w:val="24"/>
          <w:rtl/>
        </w:rPr>
        <w:t xml:space="preserve">ביום 19.8.2013 </w:t>
      </w:r>
      <w:r>
        <w:rPr>
          <w:rFonts w:ascii="David" w:hAnsi="David" w:cs="David"/>
          <w:sz w:val="24"/>
          <w:szCs w:val="24"/>
          <w:rtl/>
        </w:rPr>
        <w:t>חתמו הצדדים על חוזה מתנה על תנאי, מול הורי הנתבע (להלן: "</w:t>
      </w:r>
      <w:r>
        <w:rPr>
          <w:rFonts w:ascii="David" w:hAnsi="David" w:cs="David"/>
          <w:b/>
          <w:bCs/>
          <w:sz w:val="24"/>
          <w:szCs w:val="24"/>
          <w:rtl/>
        </w:rPr>
        <w:t>הסכם המתנה</w:t>
      </w:r>
      <w:r>
        <w:rPr>
          <w:rFonts w:ascii="David" w:hAnsi="David" w:cs="David"/>
          <w:sz w:val="24"/>
          <w:szCs w:val="24"/>
          <w:rtl/>
        </w:rPr>
        <w:t>"). בהסכם המתנה נכתב כי הורי הנתבע העבירו ישירות לידי הקבלן, ממנו נרכשה דירת המגורים, סך של 300,000 ₪ והצדדים התחייבו להשיב להורי הנתבע סכום זה באם יתגרשו.</w:t>
      </w:r>
    </w:p>
    <w:p w:rsidR="000D324B" w:rsidRDefault="000D324B" w:rsidP="000D324B">
      <w:pPr>
        <w:pStyle w:val="ad"/>
        <w:numPr>
          <w:ilvl w:val="0"/>
          <w:numId w:val="1"/>
        </w:numPr>
        <w:tabs>
          <w:tab w:val="left" w:pos="425"/>
        </w:tabs>
        <w:spacing w:line="360" w:lineRule="auto"/>
        <w:ind w:left="0" w:firstLine="283"/>
        <w:jc w:val="both"/>
        <w:rPr>
          <w:rFonts w:ascii="David" w:hAnsi="David" w:cs="David"/>
          <w:sz w:val="24"/>
          <w:szCs w:val="24"/>
        </w:rPr>
      </w:pPr>
      <w:r w:rsidRPr="00477AEA">
        <w:rPr>
          <w:rFonts w:ascii="David" w:hAnsi="David" w:cs="David"/>
          <w:b/>
          <w:bCs/>
          <w:sz w:val="24"/>
          <w:szCs w:val="24"/>
          <w:rtl/>
        </w:rPr>
        <w:t xml:space="preserve">ביום 8.2.2022 </w:t>
      </w:r>
      <w:r>
        <w:rPr>
          <w:rFonts w:ascii="David" w:hAnsi="David" w:cs="David"/>
          <w:sz w:val="24"/>
          <w:szCs w:val="24"/>
          <w:rtl/>
        </w:rPr>
        <w:t>הגישה התובעת בקשה לי"ס.</w:t>
      </w:r>
    </w:p>
    <w:p w:rsidR="000D324B" w:rsidRDefault="000D324B" w:rsidP="000D324B">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lastRenderedPageBreak/>
        <w:t xml:space="preserve">במסגרת הליך י"ס הגיעו הצדדים להסכמות, שקיבלו ביום </w:t>
      </w:r>
      <w:r w:rsidRPr="00477AEA">
        <w:rPr>
          <w:rFonts w:ascii="David" w:hAnsi="David" w:cs="David"/>
          <w:b/>
          <w:bCs/>
          <w:sz w:val="24"/>
          <w:szCs w:val="24"/>
          <w:rtl/>
        </w:rPr>
        <w:t xml:space="preserve">7.6.22 </w:t>
      </w:r>
      <w:r>
        <w:rPr>
          <w:rFonts w:ascii="David" w:hAnsi="David" w:cs="David"/>
          <w:sz w:val="24"/>
          <w:szCs w:val="24"/>
          <w:rtl/>
        </w:rPr>
        <w:t>תוקף של החלטה, בדבר חלוקת זמני השהות של כל אחד מהם עם הקטינים, באופן שהקטינים ישהו עם הנתבע בימים ב' ו- ד' החל מתום המסגרת החינוכית ועד למחרת בבוקר, ואחת לשבועיים בסוף שבוע החל מיום שישי מסיום המסגרת החינוכית ועד ליום ראשון בבוקר.</w:t>
      </w:r>
    </w:p>
    <w:p w:rsidR="000D324B" w:rsidRDefault="000D324B" w:rsidP="000D324B">
      <w:pPr>
        <w:pStyle w:val="ad"/>
        <w:numPr>
          <w:ilvl w:val="0"/>
          <w:numId w:val="1"/>
        </w:numPr>
        <w:tabs>
          <w:tab w:val="left" w:pos="425"/>
        </w:tabs>
        <w:spacing w:line="360" w:lineRule="auto"/>
        <w:ind w:hanging="437"/>
        <w:jc w:val="both"/>
        <w:rPr>
          <w:rFonts w:ascii="David" w:hAnsi="David" w:cs="David"/>
          <w:sz w:val="24"/>
          <w:szCs w:val="24"/>
        </w:rPr>
      </w:pPr>
      <w:r w:rsidRPr="00477AEA">
        <w:rPr>
          <w:rFonts w:ascii="David" w:hAnsi="David" w:cs="David"/>
          <w:b/>
          <w:bCs/>
          <w:sz w:val="24"/>
          <w:szCs w:val="24"/>
          <w:rtl/>
        </w:rPr>
        <w:t>ביום 12.4.2022</w:t>
      </w:r>
      <w:r>
        <w:rPr>
          <w:rFonts w:ascii="David" w:hAnsi="David" w:cs="David"/>
          <w:sz w:val="24"/>
          <w:szCs w:val="24"/>
          <w:rtl/>
        </w:rPr>
        <w:t xml:space="preserve"> הגישה התובעת בקשה לצו הגנה. בדיון שהתקיים במעמד צד אחד ניתן הצו, ובדיון שהתקיים ביום 18.4.2022 במעמד הצדדים, הצו הוארך למשך 60 יום, בהסכמה.</w:t>
      </w:r>
    </w:p>
    <w:p w:rsidR="000D324B" w:rsidRDefault="000D324B" w:rsidP="000D324B">
      <w:pPr>
        <w:pStyle w:val="ad"/>
        <w:numPr>
          <w:ilvl w:val="0"/>
          <w:numId w:val="1"/>
        </w:numPr>
        <w:tabs>
          <w:tab w:val="left" w:pos="425"/>
        </w:tabs>
        <w:spacing w:line="360" w:lineRule="auto"/>
        <w:ind w:hanging="437"/>
        <w:jc w:val="both"/>
        <w:rPr>
          <w:rFonts w:ascii="David" w:hAnsi="David" w:cs="David"/>
          <w:sz w:val="24"/>
          <w:szCs w:val="24"/>
        </w:rPr>
      </w:pPr>
      <w:r w:rsidRPr="00477AEA">
        <w:rPr>
          <w:rFonts w:ascii="David" w:hAnsi="David" w:cs="David"/>
          <w:b/>
          <w:bCs/>
          <w:sz w:val="24"/>
          <w:szCs w:val="24"/>
          <w:rtl/>
        </w:rPr>
        <w:t xml:space="preserve">ביום 13.6.2022 </w:t>
      </w:r>
      <w:r>
        <w:rPr>
          <w:rFonts w:ascii="David" w:hAnsi="David" w:cs="David"/>
          <w:sz w:val="24"/>
          <w:szCs w:val="24"/>
          <w:rtl/>
        </w:rPr>
        <w:t>הגישה התובעת 2 תביעות – תביעה לביטול הסכם ותביעת מזונות קטינים. הנתבע הגיש את כתבי ההגנה מטעמו, ביום 15.9.2022.</w:t>
      </w:r>
    </w:p>
    <w:p w:rsidR="000D324B" w:rsidRDefault="000D324B" w:rsidP="00884245">
      <w:pPr>
        <w:pStyle w:val="ad"/>
        <w:numPr>
          <w:ilvl w:val="0"/>
          <w:numId w:val="1"/>
        </w:numPr>
        <w:tabs>
          <w:tab w:val="left" w:pos="425"/>
        </w:tabs>
        <w:spacing w:line="360" w:lineRule="auto"/>
        <w:ind w:hanging="437"/>
        <w:jc w:val="both"/>
        <w:rPr>
          <w:rFonts w:ascii="David" w:hAnsi="David" w:cs="David"/>
          <w:sz w:val="24"/>
          <w:szCs w:val="24"/>
        </w:rPr>
      </w:pPr>
      <w:r w:rsidRPr="00477AEA">
        <w:rPr>
          <w:rFonts w:ascii="David" w:hAnsi="David" w:cs="David"/>
          <w:b/>
          <w:bCs/>
          <w:sz w:val="24"/>
          <w:szCs w:val="24"/>
          <w:rtl/>
        </w:rPr>
        <w:t>ביום 12.9.2022</w:t>
      </w:r>
      <w:r>
        <w:rPr>
          <w:rFonts w:ascii="David" w:hAnsi="David" w:cs="David"/>
          <w:sz w:val="24"/>
          <w:szCs w:val="24"/>
          <w:rtl/>
        </w:rPr>
        <w:t xml:space="preserve"> נקבעו מזונותיהם הזמניים של הקטינים. הנתבע חויב לשלם לידי התובעת סך של 700 ₪ עבור כל אחד מהקטינים. בנוסף נקבע כי הצדד</w:t>
      </w:r>
      <w:r w:rsidR="00884245">
        <w:rPr>
          <w:rFonts w:ascii="David" w:hAnsi="David" w:cs="David"/>
          <w:sz w:val="24"/>
          <w:szCs w:val="24"/>
          <w:rtl/>
        </w:rPr>
        <w:t>ים ישאו בכל הוצאות החינוך והברי</w:t>
      </w:r>
      <w:r w:rsidR="00884245">
        <w:rPr>
          <w:rFonts w:ascii="David" w:hAnsi="David" w:cs="David" w:hint="cs"/>
          <w:sz w:val="24"/>
          <w:szCs w:val="24"/>
          <w:rtl/>
        </w:rPr>
        <w:t>א</w:t>
      </w:r>
      <w:r>
        <w:rPr>
          <w:rFonts w:ascii="David" w:hAnsi="David" w:cs="David"/>
          <w:sz w:val="24"/>
          <w:szCs w:val="24"/>
          <w:rtl/>
        </w:rPr>
        <w:t>ות של הקטינים בחלקים שווים (להלן: "</w:t>
      </w:r>
      <w:r>
        <w:rPr>
          <w:rFonts w:ascii="David" w:hAnsi="David" w:cs="David"/>
          <w:b/>
          <w:bCs/>
          <w:sz w:val="24"/>
          <w:szCs w:val="24"/>
          <w:rtl/>
        </w:rPr>
        <w:t>המזונות הזמניים</w:t>
      </w:r>
      <w:r>
        <w:rPr>
          <w:rFonts w:ascii="David" w:hAnsi="David" w:cs="David"/>
          <w:sz w:val="24"/>
          <w:szCs w:val="24"/>
          <w:rtl/>
        </w:rPr>
        <w:t xml:space="preserve">"). תוקף חיוב המזונות הזמניים נקבע ליום </w:t>
      </w:r>
      <w:r w:rsidRPr="00477AEA">
        <w:rPr>
          <w:rFonts w:ascii="David" w:hAnsi="David" w:cs="David"/>
          <w:b/>
          <w:bCs/>
          <w:sz w:val="24"/>
          <w:szCs w:val="24"/>
          <w:rtl/>
        </w:rPr>
        <w:t xml:space="preserve">1.3.2022. </w:t>
      </w:r>
    </w:p>
    <w:p w:rsidR="000D324B" w:rsidRDefault="000D324B" w:rsidP="000D324B">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מאז פתיחת ההליכים שבכותרת (מזונות וביטול הסכם) התקיימו 3 דיוני קדם ו- 4 דיוני הוכחות. הצדדים הגישו סיכומיהם והגיע העת למתן פסק דין.</w:t>
      </w:r>
      <w:r>
        <w:rPr>
          <w:rFonts w:ascii="David" w:hAnsi="David" w:cs="David" w:hint="cs"/>
          <w:sz w:val="24"/>
          <w:szCs w:val="24"/>
          <w:rtl/>
        </w:rPr>
        <w:t xml:space="preserve"> פסק הדין יחולק לשני חלקים, בהתאם לשני ההליכים שבכותרת.</w:t>
      </w:r>
    </w:p>
    <w:p w:rsidR="000D324B" w:rsidRDefault="000D324B" w:rsidP="000D324B">
      <w:pPr>
        <w:pStyle w:val="ad"/>
        <w:tabs>
          <w:tab w:val="left" w:pos="425"/>
        </w:tabs>
        <w:spacing w:line="360" w:lineRule="auto"/>
        <w:ind w:left="0" w:firstLine="283"/>
        <w:jc w:val="both"/>
        <w:rPr>
          <w:rFonts w:ascii="David" w:hAnsi="David" w:cs="David"/>
          <w:sz w:val="24"/>
          <w:szCs w:val="24"/>
        </w:rPr>
      </w:pPr>
    </w:p>
    <w:p w:rsidR="000D324B" w:rsidRDefault="000D324B" w:rsidP="000D324B">
      <w:pPr>
        <w:pStyle w:val="ad"/>
        <w:tabs>
          <w:tab w:val="left" w:pos="425"/>
        </w:tabs>
        <w:spacing w:line="360" w:lineRule="auto"/>
        <w:ind w:left="0" w:firstLine="283"/>
        <w:jc w:val="both"/>
        <w:rPr>
          <w:rFonts w:ascii="David" w:hAnsi="David" w:cs="David"/>
          <w:b/>
          <w:bCs/>
          <w:sz w:val="28"/>
          <w:szCs w:val="28"/>
          <w:rtl/>
        </w:rPr>
      </w:pPr>
      <w:r>
        <w:rPr>
          <w:rFonts w:ascii="David" w:hAnsi="David" w:cs="David"/>
          <w:b/>
          <w:bCs/>
          <w:sz w:val="28"/>
          <w:szCs w:val="28"/>
          <w:rtl/>
        </w:rPr>
        <w:t>תלה"מ 26656-06-22 – תביעה לביטול הסכם</w:t>
      </w:r>
    </w:p>
    <w:p w:rsidR="000D324B" w:rsidRDefault="000D324B" w:rsidP="000D324B">
      <w:pPr>
        <w:tabs>
          <w:tab w:val="left" w:pos="425"/>
        </w:tabs>
        <w:spacing w:line="360" w:lineRule="auto"/>
        <w:ind w:firstLine="283"/>
        <w:jc w:val="both"/>
        <w:rPr>
          <w:rFonts w:ascii="David" w:hAnsi="David"/>
          <w:b/>
          <w:bCs/>
          <w:sz w:val="26"/>
          <w:szCs w:val="26"/>
          <w:u w:val="single"/>
          <w:rtl/>
        </w:rPr>
      </w:pPr>
      <w:r>
        <w:rPr>
          <w:rFonts w:ascii="David" w:hAnsi="David"/>
          <w:b/>
          <w:bCs/>
          <w:sz w:val="26"/>
          <w:szCs w:val="26"/>
          <w:u w:val="single"/>
          <w:rtl/>
        </w:rPr>
        <w:t>טענות התובעת בתמצית:</w:t>
      </w:r>
    </w:p>
    <w:p w:rsidR="000D324B" w:rsidRDefault="000D324B" w:rsidP="007D0D07">
      <w:pPr>
        <w:pStyle w:val="ad"/>
        <w:numPr>
          <w:ilvl w:val="0"/>
          <w:numId w:val="1"/>
        </w:numPr>
        <w:tabs>
          <w:tab w:val="left" w:pos="425"/>
        </w:tabs>
        <w:spacing w:line="360" w:lineRule="auto"/>
        <w:ind w:left="708" w:hanging="425"/>
        <w:jc w:val="both"/>
        <w:rPr>
          <w:rFonts w:ascii="David" w:hAnsi="David" w:cs="David"/>
          <w:sz w:val="24"/>
          <w:szCs w:val="24"/>
          <w:rtl/>
        </w:rPr>
      </w:pPr>
      <w:r>
        <w:rPr>
          <w:rFonts w:ascii="David" w:hAnsi="David" w:cs="David"/>
          <w:sz w:val="24"/>
          <w:szCs w:val="24"/>
          <w:rtl/>
        </w:rPr>
        <w:t xml:space="preserve">לטענת התובעת הנתבע הינו אדם אלים ושתלטן, ולאורך כל שנות הנישואין סבלה מיחס נוקשה, בוטה וחסר סבלנות </w:t>
      </w:r>
      <w:r w:rsidR="007D0D07">
        <w:rPr>
          <w:rFonts w:ascii="David" w:hAnsi="David" w:cs="David" w:hint="cs"/>
          <w:sz w:val="24"/>
          <w:szCs w:val="24"/>
          <w:rtl/>
        </w:rPr>
        <w:t xml:space="preserve">אשר </w:t>
      </w:r>
      <w:r>
        <w:rPr>
          <w:rFonts w:ascii="David" w:hAnsi="David" w:cs="David"/>
          <w:sz w:val="24"/>
          <w:szCs w:val="24"/>
          <w:rtl/>
        </w:rPr>
        <w:t>הלך והחריף</w:t>
      </w:r>
      <w:r w:rsidR="007D0D07">
        <w:rPr>
          <w:rFonts w:ascii="David" w:hAnsi="David" w:cs="David" w:hint="cs"/>
          <w:sz w:val="24"/>
          <w:szCs w:val="24"/>
          <w:rtl/>
        </w:rPr>
        <w:t xml:space="preserve"> עם השנים</w:t>
      </w:r>
      <w:r>
        <w:rPr>
          <w:rFonts w:ascii="David" w:hAnsi="David" w:cs="David"/>
          <w:sz w:val="24"/>
          <w:szCs w:val="24"/>
          <w:rtl/>
        </w:rPr>
        <w:t xml:space="preserve">. לטענת התובעת הנתבע אדם תוקפן, אלים </w:t>
      </w:r>
      <w:r w:rsidR="00FA6970">
        <w:rPr>
          <w:rFonts w:ascii="David" w:hAnsi="David" w:cs="David" w:hint="cs"/>
          <w:sz w:val="24"/>
          <w:szCs w:val="24"/>
          <w:rtl/>
        </w:rPr>
        <w:t>ואגרסיבי</w:t>
      </w:r>
      <w:r>
        <w:rPr>
          <w:rFonts w:ascii="David" w:hAnsi="David" w:cs="David"/>
          <w:sz w:val="24"/>
          <w:szCs w:val="24"/>
          <w:rtl/>
        </w:rPr>
        <w:t xml:space="preserve"> אשר מגיב </w:t>
      </w:r>
      <w:r w:rsidR="007D0D07">
        <w:rPr>
          <w:rFonts w:ascii="David" w:hAnsi="David" w:cs="David" w:hint="cs"/>
          <w:sz w:val="24"/>
          <w:szCs w:val="24"/>
          <w:rtl/>
        </w:rPr>
        <w:t>באימפולסיביו</w:t>
      </w:r>
      <w:r w:rsidR="007D0D07">
        <w:rPr>
          <w:rFonts w:ascii="David" w:hAnsi="David" w:cs="David" w:hint="eastAsia"/>
          <w:sz w:val="24"/>
          <w:szCs w:val="24"/>
          <w:rtl/>
        </w:rPr>
        <w:t>ת</w:t>
      </w:r>
      <w:r>
        <w:rPr>
          <w:rFonts w:ascii="David" w:hAnsi="David" w:cs="David"/>
          <w:sz w:val="24"/>
          <w:szCs w:val="24"/>
          <w:rtl/>
        </w:rPr>
        <w:t xml:space="preserve">, בכעס, צעקות, קללות ואיומים והחיים לצידו הציבו אותה לא אחת בפני מכאובים, בדידות </w:t>
      </w:r>
      <w:r w:rsidR="007D0D07">
        <w:rPr>
          <w:rFonts w:ascii="David" w:hAnsi="David" w:cs="David" w:hint="cs"/>
          <w:sz w:val="24"/>
          <w:szCs w:val="24"/>
          <w:rtl/>
        </w:rPr>
        <w:t>והתמודדויו</w:t>
      </w:r>
      <w:r w:rsidR="007D0D07">
        <w:rPr>
          <w:rFonts w:ascii="David" w:hAnsi="David" w:cs="David" w:hint="eastAsia"/>
          <w:sz w:val="24"/>
          <w:szCs w:val="24"/>
          <w:rtl/>
        </w:rPr>
        <w:t>ת</w:t>
      </w:r>
      <w:r>
        <w:rPr>
          <w:rFonts w:ascii="David" w:hAnsi="David" w:cs="David"/>
          <w:sz w:val="24"/>
          <w:szCs w:val="24"/>
          <w:rtl/>
        </w:rPr>
        <w:t xml:space="preserve"> מורכבות לצד תלות ורצון לרצות אותו ולהרגיעו.</w:t>
      </w:r>
    </w:p>
    <w:p w:rsidR="000D324B" w:rsidRDefault="000D324B" w:rsidP="000D324B">
      <w:pPr>
        <w:pStyle w:val="ad"/>
        <w:numPr>
          <w:ilvl w:val="0"/>
          <w:numId w:val="1"/>
        </w:numPr>
        <w:tabs>
          <w:tab w:val="left" w:pos="425"/>
        </w:tabs>
        <w:spacing w:line="360" w:lineRule="auto"/>
        <w:ind w:left="708" w:hanging="425"/>
        <w:jc w:val="both"/>
        <w:rPr>
          <w:rFonts w:ascii="David" w:hAnsi="David" w:cs="David"/>
          <w:sz w:val="24"/>
          <w:szCs w:val="24"/>
        </w:rPr>
      </w:pPr>
      <w:r>
        <w:rPr>
          <w:rFonts w:ascii="David" w:hAnsi="David" w:cs="David"/>
          <w:sz w:val="24"/>
          <w:szCs w:val="24"/>
          <w:rtl/>
        </w:rPr>
        <w:t>התובעת טוענת כי סבלה במהלך חיי הנישואין, ואף לפני כן, מאלימות קשה של הנתבע כנגדה. כך למשל באפריל 2013 התרחש אירוע אלימות קשה ביותר בו הנתבע התלקח, ללא כל סיבה, והתפרץ על התובעת בזעם, צעק ופרק כעסו עליה, והיכה אותה בבטנה באגרופים חזקים. התובעת אחזה בבתם של הצדדים, שהיתה כבת 3 שנים בלבד, וברחה איתה לחדר המדרגות.</w:t>
      </w:r>
    </w:p>
    <w:p w:rsidR="000D324B" w:rsidRDefault="000D324B" w:rsidP="000D324B">
      <w:pPr>
        <w:pStyle w:val="ad"/>
        <w:numPr>
          <w:ilvl w:val="0"/>
          <w:numId w:val="1"/>
        </w:numPr>
        <w:tabs>
          <w:tab w:val="left" w:pos="425"/>
        </w:tabs>
        <w:spacing w:line="360" w:lineRule="auto"/>
        <w:ind w:left="708" w:hanging="425"/>
        <w:jc w:val="both"/>
        <w:rPr>
          <w:rFonts w:ascii="David" w:hAnsi="David" w:cs="David"/>
          <w:sz w:val="24"/>
          <w:szCs w:val="24"/>
        </w:rPr>
      </w:pPr>
      <w:r>
        <w:rPr>
          <w:rFonts w:ascii="David" w:hAnsi="David" w:cs="David"/>
          <w:sz w:val="24"/>
          <w:szCs w:val="24"/>
          <w:rtl/>
        </w:rPr>
        <w:t>לטענת התובעת לא שיתפה צדדי ג' אודות האירוע שחוותה</w:t>
      </w:r>
      <w:r w:rsidR="007D0D07">
        <w:rPr>
          <w:rFonts w:ascii="David" w:hAnsi="David" w:cs="David" w:hint="cs"/>
          <w:sz w:val="24"/>
          <w:szCs w:val="24"/>
          <w:rtl/>
        </w:rPr>
        <w:t>,</w:t>
      </w:r>
      <w:r>
        <w:rPr>
          <w:rFonts w:ascii="David" w:hAnsi="David" w:cs="David"/>
          <w:sz w:val="24"/>
          <w:szCs w:val="24"/>
          <w:rtl/>
        </w:rPr>
        <w:t xml:space="preserve"> בשל הפחד שאם הנתבע ידע שעשתה כן, יכעס עליה מאוד, ועל כן פנתה רק לאימו וביקשה ממנה שתגיע לקחת אותו. הנתבע שהה בבית אימו כשבועיים ולא יצר עם התובעת כל קשר.</w:t>
      </w:r>
    </w:p>
    <w:p w:rsidR="000D324B" w:rsidRDefault="000D324B" w:rsidP="000D324B">
      <w:pPr>
        <w:pStyle w:val="ad"/>
        <w:numPr>
          <w:ilvl w:val="0"/>
          <w:numId w:val="1"/>
        </w:numPr>
        <w:tabs>
          <w:tab w:val="left" w:pos="425"/>
        </w:tabs>
        <w:spacing w:line="360" w:lineRule="auto"/>
        <w:ind w:left="708" w:hanging="425"/>
        <w:jc w:val="both"/>
        <w:rPr>
          <w:rFonts w:ascii="David" w:hAnsi="David" w:cs="David"/>
          <w:sz w:val="24"/>
          <w:szCs w:val="24"/>
        </w:rPr>
      </w:pPr>
      <w:r>
        <w:rPr>
          <w:rFonts w:ascii="David" w:hAnsi="David" w:cs="David"/>
          <w:sz w:val="24"/>
          <w:szCs w:val="24"/>
          <w:rtl/>
        </w:rPr>
        <w:t xml:space="preserve">לטענת התובעת הנתבע ניצל את אמונה, תמימותה וטוב ליבה בכדי לעשוק אותה בהטעייה מכוונת, וגרם לה לחתום על הסכם הממון, שהינו הסכם מקפח, דרקוני, חריג וקיצוני </w:t>
      </w:r>
      <w:r>
        <w:rPr>
          <w:rFonts w:ascii="David" w:hAnsi="David" w:cs="David"/>
          <w:sz w:val="24"/>
          <w:szCs w:val="24"/>
          <w:rtl/>
        </w:rPr>
        <w:lastRenderedPageBreak/>
        <w:t>מהמקובל אשר סותר את תקנת הציבור, ומשמעותו שהיא תצא מחיי הנישואין ללא כלום, עם חובות ובלי יכולת קיום.</w:t>
      </w:r>
    </w:p>
    <w:p w:rsidR="000D324B" w:rsidRPr="007D0D07" w:rsidRDefault="000D324B" w:rsidP="007D0D07">
      <w:pPr>
        <w:pStyle w:val="ad"/>
        <w:numPr>
          <w:ilvl w:val="0"/>
          <w:numId w:val="1"/>
        </w:numPr>
        <w:tabs>
          <w:tab w:val="left" w:pos="425"/>
        </w:tabs>
        <w:spacing w:line="360" w:lineRule="auto"/>
        <w:ind w:left="708" w:hanging="425"/>
        <w:jc w:val="both"/>
        <w:rPr>
          <w:rFonts w:ascii="David" w:hAnsi="David" w:cs="David"/>
          <w:sz w:val="24"/>
          <w:szCs w:val="24"/>
        </w:rPr>
      </w:pPr>
      <w:r>
        <w:rPr>
          <w:rFonts w:ascii="David" w:hAnsi="David" w:cs="David"/>
          <w:sz w:val="24"/>
          <w:szCs w:val="24"/>
          <w:rtl/>
        </w:rPr>
        <w:t>לטענת התובעת כבר בחודש מאי 2012 החלו הצדדים לדבר על רכישת דירת משותפת. התובעת האמינה שרכישת בית משותף תספק ותייצר לצדדים תחושת משפחתיות, יציבות וחום, ולשם כך היתה מוכנה להשקיע את כל משאביה ולעשות כל מה שיידרש ממנה.</w:t>
      </w:r>
      <w:r w:rsidR="007D0D07">
        <w:rPr>
          <w:rFonts w:ascii="David" w:hAnsi="David" w:cs="David" w:hint="cs"/>
          <w:sz w:val="24"/>
          <w:szCs w:val="24"/>
          <w:rtl/>
        </w:rPr>
        <w:t xml:space="preserve"> </w:t>
      </w:r>
      <w:r w:rsidRPr="007D0D07">
        <w:rPr>
          <w:rFonts w:ascii="David" w:hAnsi="David" w:cs="David"/>
          <w:sz w:val="24"/>
          <w:szCs w:val="24"/>
          <w:rtl/>
        </w:rPr>
        <w:t>אולם, לאחר חזרתו של הנתבע לבית המגורים, במהלך חודש מאי 2013,  הודיע לה הנתבע כי אם ברצונה להמשיך את חייהם המשותפים</w:t>
      </w:r>
      <w:r w:rsidR="007D0D07">
        <w:rPr>
          <w:rFonts w:ascii="David" w:hAnsi="David" w:cs="David" w:hint="cs"/>
          <w:sz w:val="24"/>
          <w:szCs w:val="24"/>
          <w:rtl/>
        </w:rPr>
        <w:t>,</w:t>
      </w:r>
      <w:r w:rsidRPr="007D0D07">
        <w:rPr>
          <w:rFonts w:ascii="David" w:hAnsi="David" w:cs="David"/>
          <w:sz w:val="24"/>
          <w:szCs w:val="24"/>
          <w:rtl/>
        </w:rPr>
        <w:t xml:space="preserve"> הוא עומד על כך שיערך הסכם במסגרתו יוסדרו כספים שהיו לו לפני הנישואין</w:t>
      </w:r>
      <w:r w:rsidR="007D0D07">
        <w:rPr>
          <w:rFonts w:ascii="David" w:hAnsi="David" w:cs="David" w:hint="cs"/>
          <w:sz w:val="24"/>
          <w:szCs w:val="24"/>
          <w:rtl/>
        </w:rPr>
        <w:t>,</w:t>
      </w:r>
      <w:r w:rsidRPr="007D0D07">
        <w:rPr>
          <w:rFonts w:ascii="David" w:hAnsi="David" w:cs="David"/>
          <w:sz w:val="24"/>
          <w:szCs w:val="24"/>
          <w:rtl/>
        </w:rPr>
        <w:t xml:space="preserve"> והוסיף כי ללא הסכם לא ירכשו הצדדים דירה וללא חתימתה הוא יבקש להתגרש.</w:t>
      </w:r>
    </w:p>
    <w:p w:rsidR="000D324B" w:rsidRDefault="000D324B" w:rsidP="000D324B">
      <w:pPr>
        <w:pStyle w:val="ad"/>
        <w:numPr>
          <w:ilvl w:val="0"/>
          <w:numId w:val="1"/>
        </w:numPr>
        <w:tabs>
          <w:tab w:val="left" w:pos="425"/>
        </w:tabs>
        <w:spacing w:line="360" w:lineRule="auto"/>
        <w:ind w:left="708" w:hanging="425"/>
        <w:jc w:val="both"/>
        <w:rPr>
          <w:rFonts w:ascii="David" w:hAnsi="David" w:cs="David"/>
          <w:sz w:val="24"/>
          <w:szCs w:val="24"/>
        </w:rPr>
      </w:pPr>
      <w:r>
        <w:rPr>
          <w:rFonts w:ascii="David" w:hAnsi="David" w:cs="David"/>
          <w:sz w:val="24"/>
          <w:szCs w:val="24"/>
          <w:rtl/>
        </w:rPr>
        <w:t xml:space="preserve">התובעת, כך לטענתה, עשתה כל מה שהורה לה הנתבע </w:t>
      </w:r>
      <w:r w:rsidR="007D0D07">
        <w:rPr>
          <w:rFonts w:ascii="David" w:hAnsi="David" w:cs="David" w:hint="cs"/>
          <w:sz w:val="24"/>
          <w:szCs w:val="24"/>
          <w:rtl/>
        </w:rPr>
        <w:t xml:space="preserve">לעשות </w:t>
      </w:r>
      <w:r>
        <w:rPr>
          <w:rFonts w:ascii="David" w:hAnsi="David" w:cs="David"/>
          <w:sz w:val="24"/>
          <w:szCs w:val="24"/>
          <w:rtl/>
        </w:rPr>
        <w:t>על מנת לרצותו. מאחר וחששה מפירוק המשפחה, ולאור התניית הנתבע את המשך החיים המשותפים ללא הסכם, חתמה על הסכם הממון.</w:t>
      </w:r>
    </w:p>
    <w:p w:rsidR="000D324B" w:rsidRDefault="000D324B" w:rsidP="000D324B">
      <w:pPr>
        <w:pStyle w:val="ad"/>
        <w:numPr>
          <w:ilvl w:val="0"/>
          <w:numId w:val="1"/>
        </w:numPr>
        <w:tabs>
          <w:tab w:val="left" w:pos="425"/>
        </w:tabs>
        <w:spacing w:line="360" w:lineRule="auto"/>
        <w:ind w:left="708" w:hanging="425"/>
        <w:jc w:val="both"/>
        <w:rPr>
          <w:rFonts w:ascii="David" w:hAnsi="David" w:cs="David"/>
          <w:sz w:val="24"/>
          <w:szCs w:val="24"/>
        </w:rPr>
      </w:pPr>
      <w:r>
        <w:rPr>
          <w:rFonts w:ascii="David" w:hAnsi="David" w:cs="David"/>
          <w:sz w:val="24"/>
          <w:szCs w:val="24"/>
          <w:rtl/>
        </w:rPr>
        <w:t>יחד עם זאת טוענת התובעת</w:t>
      </w:r>
      <w:r w:rsidR="00736C04">
        <w:rPr>
          <w:rFonts w:ascii="David" w:hAnsi="David" w:cs="David" w:hint="cs"/>
          <w:sz w:val="24"/>
          <w:szCs w:val="24"/>
          <w:rtl/>
        </w:rPr>
        <w:t>,</w:t>
      </w:r>
      <w:r>
        <w:rPr>
          <w:rFonts w:ascii="David" w:hAnsi="David" w:cs="David"/>
          <w:sz w:val="24"/>
          <w:szCs w:val="24"/>
          <w:rtl/>
        </w:rPr>
        <w:t xml:space="preserve"> כי הסכם הממון ופרוטוקול אישור ההסכם מעולם לא היו בהישג ידה וכי אלה הוגשו לה לראשונה, בפגישת המהות שהתקיימה ביום 6.4.22.</w:t>
      </w:r>
    </w:p>
    <w:p w:rsidR="000D324B" w:rsidRDefault="000D324B" w:rsidP="00736C04">
      <w:pPr>
        <w:pStyle w:val="ad"/>
        <w:numPr>
          <w:ilvl w:val="0"/>
          <w:numId w:val="1"/>
        </w:numPr>
        <w:tabs>
          <w:tab w:val="left" w:pos="425"/>
        </w:tabs>
        <w:spacing w:line="360" w:lineRule="auto"/>
        <w:ind w:left="708" w:hanging="425"/>
        <w:jc w:val="both"/>
        <w:rPr>
          <w:rFonts w:ascii="David" w:hAnsi="David" w:cs="David"/>
          <w:sz w:val="24"/>
          <w:szCs w:val="24"/>
        </w:rPr>
      </w:pPr>
      <w:r>
        <w:rPr>
          <w:rFonts w:ascii="David" w:hAnsi="David" w:cs="David"/>
          <w:sz w:val="24"/>
          <w:szCs w:val="24"/>
          <w:rtl/>
        </w:rPr>
        <w:t>יתר על כן, לטענת התובעת במועד אישור ההסכם, בית המשפט לא יכול היה לראות את מה שהתרחש "מתחת לשולחן ומאחורי הקלעים"</w:t>
      </w:r>
      <w:r w:rsidR="00736C04">
        <w:rPr>
          <w:rFonts w:ascii="David" w:hAnsi="David" w:cs="David" w:hint="cs"/>
          <w:sz w:val="24"/>
          <w:szCs w:val="24"/>
          <w:rtl/>
        </w:rPr>
        <w:t xml:space="preserve"> (כך כלשונה)</w:t>
      </w:r>
      <w:r>
        <w:rPr>
          <w:rFonts w:ascii="David" w:hAnsi="David" w:cs="David"/>
          <w:sz w:val="24"/>
          <w:szCs w:val="24"/>
          <w:rtl/>
        </w:rPr>
        <w:t>, לא יכול היה לראות את מצוקתה וחולשתה. עוד מוסיפה התובעת וטוענת כי האלימות הקשה שה</w:t>
      </w:r>
      <w:r w:rsidR="00736C04">
        <w:rPr>
          <w:rFonts w:ascii="David" w:hAnsi="David" w:cs="David" w:hint="cs"/>
          <w:sz w:val="24"/>
          <w:szCs w:val="24"/>
          <w:rtl/>
        </w:rPr>
        <w:t>ו</w:t>
      </w:r>
      <w:r>
        <w:rPr>
          <w:rFonts w:ascii="David" w:hAnsi="David" w:cs="David"/>
          <w:sz w:val="24"/>
          <w:szCs w:val="24"/>
          <w:rtl/>
        </w:rPr>
        <w:t>פנתה כלפיה, חולשתה ופחדיה, והאופן בו נערך הסכם ממון הוסתרו במכוון על יד</w:t>
      </w:r>
      <w:r w:rsidR="00736C04">
        <w:rPr>
          <w:rFonts w:ascii="David" w:hAnsi="David" w:cs="David" w:hint="cs"/>
          <w:sz w:val="24"/>
          <w:szCs w:val="24"/>
          <w:rtl/>
        </w:rPr>
        <w:t>ה</w:t>
      </w:r>
      <w:r>
        <w:rPr>
          <w:rFonts w:ascii="David" w:hAnsi="David" w:cs="David"/>
          <w:sz w:val="24"/>
          <w:szCs w:val="24"/>
          <w:rtl/>
        </w:rPr>
        <w:t xml:space="preserve"> מעיני בית המשפט במעמד אישור הסכם הממון.</w:t>
      </w:r>
    </w:p>
    <w:p w:rsidR="000D324B" w:rsidRDefault="000D324B" w:rsidP="000D324B">
      <w:pPr>
        <w:pStyle w:val="ad"/>
        <w:numPr>
          <w:ilvl w:val="0"/>
          <w:numId w:val="1"/>
        </w:numPr>
        <w:tabs>
          <w:tab w:val="left" w:pos="425"/>
        </w:tabs>
        <w:spacing w:line="360" w:lineRule="auto"/>
        <w:ind w:left="708" w:hanging="425"/>
        <w:jc w:val="both"/>
        <w:rPr>
          <w:rFonts w:ascii="David" w:hAnsi="David" w:cs="David"/>
          <w:sz w:val="24"/>
          <w:szCs w:val="24"/>
        </w:rPr>
      </w:pPr>
      <w:r>
        <w:rPr>
          <w:rFonts w:ascii="David" w:hAnsi="David" w:cs="David"/>
          <w:sz w:val="24"/>
          <w:szCs w:val="24"/>
          <w:rtl/>
        </w:rPr>
        <w:t>לטענת התובעת לו היתה לה היכולת אז, במעמד אישור הסכם הממון, להבין ולפרט לבית המשפט מה היו הנסיבות בהם הוא נחתם, לא היה בית המשפט מאשר את ההסכם.</w:t>
      </w:r>
    </w:p>
    <w:p w:rsidR="000D324B" w:rsidRDefault="000D324B" w:rsidP="00736C04">
      <w:pPr>
        <w:pStyle w:val="ad"/>
        <w:numPr>
          <w:ilvl w:val="0"/>
          <w:numId w:val="1"/>
        </w:numPr>
        <w:tabs>
          <w:tab w:val="left" w:pos="425"/>
        </w:tabs>
        <w:spacing w:line="360" w:lineRule="auto"/>
        <w:ind w:left="708" w:hanging="425"/>
        <w:jc w:val="both"/>
        <w:rPr>
          <w:rFonts w:ascii="David" w:hAnsi="David" w:cs="David"/>
          <w:sz w:val="24"/>
          <w:szCs w:val="24"/>
        </w:rPr>
      </w:pPr>
      <w:r>
        <w:rPr>
          <w:rFonts w:ascii="David" w:hAnsi="David" w:cs="David"/>
          <w:sz w:val="24"/>
          <w:szCs w:val="24"/>
          <w:rtl/>
        </w:rPr>
        <w:t>לטענת התובעת יש לבטל את הסכם ממון גם בשל חוסר תום ליבו של הנתבע, בעוד הנתבע עשק והטעה את התובעת, היא נתנה בו את אמונה כבעלה וכאב בתה – כך לדבריה.</w:t>
      </w:r>
    </w:p>
    <w:p w:rsidR="000D324B" w:rsidRDefault="000D324B" w:rsidP="000D324B">
      <w:pPr>
        <w:pStyle w:val="ad"/>
        <w:numPr>
          <w:ilvl w:val="0"/>
          <w:numId w:val="1"/>
        </w:numPr>
        <w:tabs>
          <w:tab w:val="left" w:pos="425"/>
        </w:tabs>
        <w:spacing w:line="360" w:lineRule="auto"/>
        <w:ind w:left="708" w:hanging="425"/>
        <w:jc w:val="both"/>
        <w:rPr>
          <w:rFonts w:ascii="David" w:hAnsi="David" w:cs="David"/>
          <w:sz w:val="24"/>
          <w:szCs w:val="24"/>
        </w:rPr>
      </w:pPr>
      <w:r>
        <w:rPr>
          <w:rFonts w:ascii="David" w:hAnsi="David" w:cs="David"/>
          <w:sz w:val="24"/>
          <w:szCs w:val="24"/>
          <w:rtl/>
        </w:rPr>
        <w:t>לטענת התובעת מעולם לא התקיים בין הצדדים משא ומתן, הנתבע הציב עובדה בפני התובעת כי עליה לחתום על הסכם ממון</w:t>
      </w:r>
      <w:r w:rsidR="00736C04">
        <w:rPr>
          <w:rFonts w:ascii="David" w:hAnsi="David" w:cs="David" w:hint="cs"/>
          <w:sz w:val="24"/>
          <w:szCs w:val="24"/>
          <w:rtl/>
        </w:rPr>
        <w:t>,</w:t>
      </w:r>
      <w:r>
        <w:rPr>
          <w:rFonts w:ascii="David" w:hAnsi="David" w:cs="David"/>
          <w:sz w:val="24"/>
          <w:szCs w:val="24"/>
          <w:rtl/>
        </w:rPr>
        <w:t xml:space="preserve"> ש</w:t>
      </w:r>
      <w:r w:rsidR="00E44021">
        <w:rPr>
          <w:rFonts w:ascii="David" w:hAnsi="David" w:cs="David"/>
          <w:sz w:val="24"/>
          <w:szCs w:val="24"/>
          <w:rtl/>
        </w:rPr>
        <w:t>מהווה תנאי להמשך החיים המשותפים</w:t>
      </w:r>
      <w:r w:rsidR="00736C04">
        <w:rPr>
          <w:rFonts w:ascii="David" w:hAnsi="David" w:cs="David" w:hint="cs"/>
          <w:sz w:val="24"/>
          <w:szCs w:val="24"/>
          <w:rtl/>
        </w:rPr>
        <w:t>,</w:t>
      </w:r>
      <w:r w:rsidR="00E44021">
        <w:rPr>
          <w:rFonts w:ascii="David" w:hAnsi="David" w:cs="David" w:hint="cs"/>
          <w:sz w:val="24"/>
          <w:szCs w:val="24"/>
          <w:rtl/>
        </w:rPr>
        <w:t xml:space="preserve"> </w:t>
      </w:r>
      <w:r>
        <w:rPr>
          <w:rFonts w:ascii="David" w:hAnsi="David" w:cs="David"/>
          <w:sz w:val="24"/>
          <w:szCs w:val="24"/>
          <w:rtl/>
        </w:rPr>
        <w:t>והוא זה שהכתיב את נוסח ההסכם לעו"ד שערכה אותו.</w:t>
      </w:r>
    </w:p>
    <w:p w:rsidR="000D324B" w:rsidRDefault="000D324B" w:rsidP="000D324B">
      <w:pPr>
        <w:pStyle w:val="ad"/>
        <w:numPr>
          <w:ilvl w:val="0"/>
          <w:numId w:val="1"/>
        </w:numPr>
        <w:tabs>
          <w:tab w:val="left" w:pos="425"/>
        </w:tabs>
        <w:spacing w:line="360" w:lineRule="auto"/>
        <w:ind w:left="708" w:hanging="425"/>
        <w:jc w:val="both"/>
        <w:rPr>
          <w:rFonts w:ascii="David" w:hAnsi="David" w:cs="David"/>
          <w:sz w:val="24"/>
          <w:szCs w:val="24"/>
        </w:rPr>
      </w:pPr>
      <w:r>
        <w:rPr>
          <w:rFonts w:ascii="David" w:hAnsi="David" w:cs="David"/>
          <w:sz w:val="24"/>
          <w:szCs w:val="24"/>
          <w:rtl/>
        </w:rPr>
        <w:t>לטענת התובעת הנתבע פעל מאחורי גבה, אל מול עורכת הדין שערכה את ההסכם, ולימים מצאה בתוך מגירה בדירת המגורים, עותקים קשיחים ומודפסים של התכתבות ענפה, במהלך שנים, שבין הנתבע לעורכת הדין, המוכיחים שליטה מלאה של הנתבע בניסוח הסכם הממון, עריכתו ואף בכתיבתו.</w:t>
      </w:r>
    </w:p>
    <w:p w:rsidR="000D324B" w:rsidRDefault="000D324B" w:rsidP="000D324B">
      <w:pPr>
        <w:pStyle w:val="ad"/>
        <w:numPr>
          <w:ilvl w:val="0"/>
          <w:numId w:val="1"/>
        </w:numPr>
        <w:tabs>
          <w:tab w:val="left" w:pos="425"/>
        </w:tabs>
        <w:spacing w:line="360" w:lineRule="auto"/>
        <w:ind w:left="708" w:hanging="425"/>
        <w:jc w:val="both"/>
        <w:rPr>
          <w:rFonts w:ascii="David" w:hAnsi="David" w:cs="David"/>
          <w:sz w:val="24"/>
          <w:szCs w:val="24"/>
        </w:rPr>
      </w:pPr>
      <w:r>
        <w:rPr>
          <w:rFonts w:ascii="David" w:hAnsi="David" w:cs="David"/>
          <w:sz w:val="24"/>
          <w:szCs w:val="24"/>
          <w:rtl/>
        </w:rPr>
        <w:t>לטענת התובעת הנתבע שינה את הסכם הממון, בהתאם לרצונו, לאחר שקיבל קובץ וורד מעו"ד, החתים את התובעת בביתם ערב מועד אישור ההסכם, כאשר רק הוא יודע ומבין את משמעות ההסכם.</w:t>
      </w:r>
    </w:p>
    <w:p w:rsidR="000D324B" w:rsidRDefault="000D324B" w:rsidP="000D324B">
      <w:pPr>
        <w:pStyle w:val="ad"/>
        <w:numPr>
          <w:ilvl w:val="0"/>
          <w:numId w:val="1"/>
        </w:numPr>
        <w:tabs>
          <w:tab w:val="left" w:pos="425"/>
        </w:tabs>
        <w:spacing w:line="360" w:lineRule="auto"/>
        <w:ind w:left="708" w:hanging="425"/>
        <w:jc w:val="both"/>
        <w:rPr>
          <w:rFonts w:ascii="David" w:hAnsi="David" w:cs="David"/>
          <w:sz w:val="24"/>
          <w:szCs w:val="24"/>
        </w:rPr>
      </w:pPr>
      <w:r>
        <w:rPr>
          <w:rFonts w:ascii="David" w:hAnsi="David" w:cs="David"/>
          <w:sz w:val="24"/>
          <w:szCs w:val="24"/>
          <w:rtl/>
        </w:rPr>
        <w:lastRenderedPageBreak/>
        <w:t>לשיטתה של התובעת, עו"ד שערכה את ההסכם, ואף הגיעה עימם לאישורו בבית המשפט, לא נתנה לה שום ייעוץ משפטי ושום הסברים אודות הסכם הממון ומעולם לא הובהר לה כי היא זכאית לייצוג משפטי מטעמה.</w:t>
      </w:r>
    </w:p>
    <w:p w:rsidR="000D324B" w:rsidRDefault="000D324B" w:rsidP="00736C04">
      <w:pPr>
        <w:pStyle w:val="ad"/>
        <w:numPr>
          <w:ilvl w:val="0"/>
          <w:numId w:val="1"/>
        </w:numPr>
        <w:tabs>
          <w:tab w:val="left" w:pos="425"/>
        </w:tabs>
        <w:spacing w:line="360" w:lineRule="auto"/>
        <w:ind w:left="708" w:hanging="425"/>
        <w:jc w:val="both"/>
        <w:rPr>
          <w:rFonts w:ascii="David" w:hAnsi="David" w:cs="David"/>
          <w:sz w:val="24"/>
          <w:szCs w:val="24"/>
        </w:rPr>
      </w:pPr>
      <w:r>
        <w:rPr>
          <w:rFonts w:ascii="David" w:hAnsi="David" w:cs="David"/>
          <w:sz w:val="24"/>
          <w:szCs w:val="24"/>
          <w:rtl/>
        </w:rPr>
        <w:t xml:space="preserve">יתר על כן טוענת התובעת כי התנהלות הנתבע אל מול עורכת הדין, המיילים שהוחלפו ביניהם ללא ידיעתה, </w:t>
      </w:r>
      <w:r w:rsidR="00736C04">
        <w:rPr>
          <w:rFonts w:ascii="David" w:hAnsi="David" w:cs="David" w:hint="cs"/>
          <w:sz w:val="24"/>
          <w:szCs w:val="24"/>
          <w:rtl/>
        </w:rPr>
        <w:t>ו</w:t>
      </w:r>
      <w:r>
        <w:rPr>
          <w:rFonts w:ascii="David" w:hAnsi="David" w:cs="David"/>
          <w:sz w:val="24"/>
          <w:szCs w:val="24"/>
          <w:rtl/>
        </w:rPr>
        <w:t>הור</w:t>
      </w:r>
      <w:r w:rsidR="00736C04">
        <w:rPr>
          <w:rFonts w:ascii="David" w:hAnsi="David" w:cs="David" w:hint="cs"/>
          <w:sz w:val="24"/>
          <w:szCs w:val="24"/>
          <w:rtl/>
        </w:rPr>
        <w:t>א</w:t>
      </w:r>
      <w:r>
        <w:rPr>
          <w:rFonts w:ascii="David" w:hAnsi="David" w:cs="David"/>
          <w:sz w:val="24"/>
          <w:szCs w:val="24"/>
          <w:rtl/>
        </w:rPr>
        <w:t>ות המעניקות זכויות לנתבע באופן חריג וקיצוני, מעידים כי עו"ד שהגיעה למועד אישור ההסכם, על אף שטענה לפרוטוקול כי היא מייצגת את שני הצדדים, לא ייצגה את התובעת.</w:t>
      </w:r>
    </w:p>
    <w:p w:rsidR="000D324B" w:rsidRDefault="000D324B" w:rsidP="00736C04">
      <w:pPr>
        <w:pStyle w:val="ad"/>
        <w:numPr>
          <w:ilvl w:val="0"/>
          <w:numId w:val="1"/>
        </w:numPr>
        <w:tabs>
          <w:tab w:val="left" w:pos="425"/>
        </w:tabs>
        <w:spacing w:line="360" w:lineRule="auto"/>
        <w:ind w:left="708" w:hanging="425"/>
        <w:jc w:val="both"/>
        <w:rPr>
          <w:rFonts w:ascii="David" w:hAnsi="David" w:cs="David"/>
          <w:sz w:val="24"/>
          <w:szCs w:val="24"/>
        </w:rPr>
      </w:pPr>
      <w:r>
        <w:rPr>
          <w:rFonts w:ascii="David" w:hAnsi="David" w:cs="David"/>
          <w:sz w:val="24"/>
          <w:szCs w:val="24"/>
          <w:rtl/>
        </w:rPr>
        <w:t>עוד עילה המצדיקה את ביטול הסכם הממון לטענת התובעת הינה עילת העושק. לטענת התובעת הנסיבות שקדמו לעריכת הסכם הממון כללו את התרחשותו של אירוע חריג בין הצדדים במהלך חודש אפריל 2013, אשר גרם לנתבע להודיע לתובעת על רצונו להתגרש. התובעת שכל כך פחדה שהנתבע יפעל  כדבריו ויפרק את המשפחה, נוצלה על ידי הנתבע, שידע על שאיפותיה למשפחה משלה. לשיטתה של התובעת מצבה הירו</w:t>
      </w:r>
      <w:r w:rsidR="00736C04">
        <w:rPr>
          <w:rFonts w:ascii="David" w:hAnsi="David" w:cs="David" w:hint="cs"/>
          <w:sz w:val="24"/>
          <w:szCs w:val="24"/>
          <w:rtl/>
        </w:rPr>
        <w:t>ד</w:t>
      </w:r>
      <w:r>
        <w:rPr>
          <w:rFonts w:ascii="David" w:hAnsi="David" w:cs="David"/>
          <w:sz w:val="24"/>
          <w:szCs w:val="24"/>
          <w:rtl/>
        </w:rPr>
        <w:t xml:space="preserve"> וחולשתה היו מוחלטים ואלה מוכיחים כי נעשקה על ידי הנתבע.</w:t>
      </w:r>
    </w:p>
    <w:p w:rsidR="000D324B" w:rsidRDefault="000D324B" w:rsidP="00736C04">
      <w:pPr>
        <w:pStyle w:val="ad"/>
        <w:numPr>
          <w:ilvl w:val="0"/>
          <w:numId w:val="1"/>
        </w:numPr>
        <w:tabs>
          <w:tab w:val="left" w:pos="425"/>
        </w:tabs>
        <w:spacing w:line="360" w:lineRule="auto"/>
        <w:ind w:left="708" w:hanging="425"/>
        <w:jc w:val="both"/>
        <w:rPr>
          <w:rFonts w:ascii="David" w:hAnsi="David" w:cs="David"/>
          <w:sz w:val="24"/>
          <w:szCs w:val="24"/>
        </w:rPr>
      </w:pPr>
      <w:r>
        <w:rPr>
          <w:rFonts w:ascii="David" w:hAnsi="David" w:cs="David"/>
          <w:sz w:val="24"/>
          <w:szCs w:val="24"/>
          <w:rtl/>
        </w:rPr>
        <w:t>חולשתה של התובעת, כך לטענתה, באה לידי ביטוי גם בחוסר ניסיונה מול מערכת המשפט וחוסר יכולתה ל</w:t>
      </w:r>
      <w:r w:rsidR="00736C04">
        <w:rPr>
          <w:rFonts w:ascii="David" w:hAnsi="David" w:cs="David" w:hint="cs"/>
          <w:sz w:val="24"/>
          <w:szCs w:val="24"/>
          <w:rtl/>
        </w:rPr>
        <w:t>ה</w:t>
      </w:r>
      <w:r>
        <w:rPr>
          <w:rFonts w:ascii="David" w:hAnsi="David" w:cs="David"/>
          <w:sz w:val="24"/>
          <w:szCs w:val="24"/>
          <w:rtl/>
        </w:rPr>
        <w:t>בין את תוצאות הסכם הממון על עתידה וזכויותיה. שפת האם של התובעת היא רוסית, הסכם הממון נוסח בעברית, ועל אף שהתובעת מבינה עברית, ישנן דקויות ומשמעויות בניסוח משפטי אשר הקש</w:t>
      </w:r>
      <w:r w:rsidR="00736C04">
        <w:rPr>
          <w:rFonts w:ascii="David" w:hAnsi="David" w:cs="David" w:hint="cs"/>
          <w:sz w:val="24"/>
          <w:szCs w:val="24"/>
          <w:rtl/>
        </w:rPr>
        <w:t>ו</w:t>
      </w:r>
      <w:r>
        <w:rPr>
          <w:rFonts w:ascii="David" w:hAnsi="David" w:cs="David"/>
          <w:sz w:val="24"/>
          <w:szCs w:val="24"/>
          <w:rtl/>
        </w:rPr>
        <w:t xml:space="preserve"> עליה להבין את מלוא המשמעויות.</w:t>
      </w:r>
    </w:p>
    <w:p w:rsidR="000D324B" w:rsidRDefault="000D324B" w:rsidP="000D324B">
      <w:pPr>
        <w:pStyle w:val="ad"/>
        <w:numPr>
          <w:ilvl w:val="0"/>
          <w:numId w:val="1"/>
        </w:numPr>
        <w:tabs>
          <w:tab w:val="left" w:pos="425"/>
        </w:tabs>
        <w:spacing w:line="360" w:lineRule="auto"/>
        <w:ind w:left="708" w:hanging="425"/>
        <w:jc w:val="both"/>
        <w:rPr>
          <w:rFonts w:ascii="David" w:hAnsi="David" w:cs="David"/>
          <w:sz w:val="24"/>
          <w:szCs w:val="24"/>
        </w:rPr>
      </w:pPr>
      <w:r>
        <w:rPr>
          <w:rFonts w:ascii="David" w:hAnsi="David" w:cs="David"/>
          <w:sz w:val="24"/>
          <w:szCs w:val="24"/>
          <w:rtl/>
        </w:rPr>
        <w:t>הנתבע היה מודע למצבה של התובעת, לחולשתה וניצל מצב זה לטובתו, באמצעות החתמתה על הסכם חד צדדי. הנתבע, כך לטענת התובעת</w:t>
      </w:r>
      <w:r w:rsidR="00736C04">
        <w:rPr>
          <w:rFonts w:ascii="David" w:hAnsi="David" w:cs="David" w:hint="cs"/>
          <w:sz w:val="24"/>
          <w:szCs w:val="24"/>
          <w:rtl/>
        </w:rPr>
        <w:t>,</w:t>
      </w:r>
      <w:r>
        <w:rPr>
          <w:rFonts w:ascii="David" w:hAnsi="David" w:cs="David"/>
          <w:sz w:val="24"/>
          <w:szCs w:val="24"/>
          <w:rtl/>
        </w:rPr>
        <w:t xml:space="preserve"> לא רק שהיה מודע למצוקת התובעת הוא היה אף זה שגרם לה להיות במצוקה זו. הנתבע ידע והכיר את חששות התובעת מפני גירושין וניצל זאת לשם החתמתה על הסכם ממון שלא היתה שותפה לו בשום אופן.</w:t>
      </w:r>
    </w:p>
    <w:p w:rsidR="000D324B" w:rsidRDefault="000D324B" w:rsidP="00736C04">
      <w:pPr>
        <w:pStyle w:val="ad"/>
        <w:numPr>
          <w:ilvl w:val="0"/>
          <w:numId w:val="1"/>
        </w:numPr>
        <w:tabs>
          <w:tab w:val="left" w:pos="425"/>
        </w:tabs>
        <w:spacing w:line="360" w:lineRule="auto"/>
        <w:ind w:left="708" w:hanging="425"/>
        <w:jc w:val="both"/>
        <w:rPr>
          <w:rFonts w:ascii="David" w:hAnsi="David" w:cs="David"/>
          <w:sz w:val="24"/>
          <w:szCs w:val="24"/>
        </w:rPr>
      </w:pPr>
      <w:r>
        <w:rPr>
          <w:rFonts w:ascii="David" w:hAnsi="David" w:cs="David"/>
          <w:sz w:val="24"/>
          <w:szCs w:val="24"/>
          <w:rtl/>
        </w:rPr>
        <w:t>לשיטתה של התובעת תנאי ההסכם גרועים במ</w:t>
      </w:r>
      <w:r w:rsidR="00736C04">
        <w:rPr>
          <w:rFonts w:ascii="David" w:hAnsi="David" w:cs="David" w:hint="cs"/>
          <w:sz w:val="24"/>
          <w:szCs w:val="24"/>
          <w:rtl/>
        </w:rPr>
        <w:t>י</w:t>
      </w:r>
      <w:r>
        <w:rPr>
          <w:rFonts w:ascii="David" w:hAnsi="David" w:cs="David"/>
          <w:sz w:val="24"/>
          <w:szCs w:val="24"/>
          <w:rtl/>
        </w:rPr>
        <w:t>דה בלתי סבירה מן המקובל וגם מטעם זה יש לבטלו. ההסכם מקנה לנתבע זכויות שהוא אינו זכאי להן על פי החוק</w:t>
      </w:r>
      <w:r w:rsidR="00736C04">
        <w:rPr>
          <w:rFonts w:ascii="David" w:hAnsi="David" w:cs="David" w:hint="cs"/>
          <w:sz w:val="24"/>
          <w:szCs w:val="24"/>
          <w:rtl/>
        </w:rPr>
        <w:t>,</w:t>
      </w:r>
      <w:r>
        <w:rPr>
          <w:rFonts w:ascii="David" w:hAnsi="David" w:cs="David"/>
          <w:sz w:val="24"/>
          <w:szCs w:val="24"/>
          <w:rtl/>
        </w:rPr>
        <w:t xml:space="preserve"> תוך קיפוח מובהק וחריג של זכויות התובעת.</w:t>
      </w:r>
    </w:p>
    <w:p w:rsidR="000D324B" w:rsidRDefault="000D324B" w:rsidP="000D324B">
      <w:pPr>
        <w:pStyle w:val="ad"/>
        <w:numPr>
          <w:ilvl w:val="0"/>
          <w:numId w:val="1"/>
        </w:numPr>
        <w:tabs>
          <w:tab w:val="left" w:pos="425"/>
        </w:tabs>
        <w:spacing w:line="360" w:lineRule="auto"/>
        <w:ind w:left="708" w:hanging="425"/>
        <w:jc w:val="both"/>
        <w:rPr>
          <w:rFonts w:ascii="David" w:hAnsi="David" w:cs="David"/>
          <w:sz w:val="24"/>
          <w:szCs w:val="24"/>
        </w:rPr>
      </w:pPr>
      <w:r>
        <w:rPr>
          <w:rFonts w:ascii="David" w:hAnsi="David" w:cs="David"/>
          <w:sz w:val="24"/>
          <w:szCs w:val="24"/>
          <w:rtl/>
        </w:rPr>
        <w:t>מדובר בהסכם חד צדדי לטובת הנתבע וללא כל איזון בין הצדדים. ההסכם הינו שעבוד התובעת במשך שנים לתשלומי המשכנתא המשותפת, מבלי צבירת זכויות לטובתה. הלכה למעשה כל מה שניתן לתובעת במסגרת הסכם הממון הוא האפשרות למצוא עצמה חסרת כל וללא קורת גג ואת "הזכות" לממן את הנתבע ולרכוש עבורו נכס</w:t>
      </w:r>
      <w:r w:rsidR="00736C04">
        <w:rPr>
          <w:rFonts w:ascii="David" w:hAnsi="David" w:cs="David" w:hint="cs"/>
          <w:sz w:val="24"/>
          <w:szCs w:val="24"/>
          <w:rtl/>
        </w:rPr>
        <w:t>,</w:t>
      </w:r>
      <w:r>
        <w:rPr>
          <w:rFonts w:ascii="David" w:hAnsi="David" w:cs="David"/>
          <w:sz w:val="24"/>
          <w:szCs w:val="24"/>
          <w:rtl/>
        </w:rPr>
        <w:t xml:space="preserve"> בעודה לא חוסכת ולא צוברת שום רכוש – כך לדבריה.</w:t>
      </w:r>
    </w:p>
    <w:p w:rsidR="000D324B" w:rsidRDefault="000D324B" w:rsidP="000D324B">
      <w:pPr>
        <w:pStyle w:val="ad"/>
        <w:numPr>
          <w:ilvl w:val="0"/>
          <w:numId w:val="1"/>
        </w:numPr>
        <w:tabs>
          <w:tab w:val="left" w:pos="425"/>
        </w:tabs>
        <w:spacing w:line="360" w:lineRule="auto"/>
        <w:ind w:left="708" w:hanging="425"/>
        <w:jc w:val="both"/>
        <w:rPr>
          <w:rFonts w:ascii="David" w:hAnsi="David" w:cs="David"/>
          <w:sz w:val="24"/>
          <w:szCs w:val="24"/>
        </w:rPr>
      </w:pPr>
      <w:r>
        <w:rPr>
          <w:rFonts w:ascii="David" w:hAnsi="David" w:cs="David"/>
          <w:sz w:val="24"/>
          <w:szCs w:val="24"/>
          <w:rtl/>
        </w:rPr>
        <w:t>הסכם הממון נוגד את תקנת הציבור, אינו מתיישב עם הצדק, המוסר, הדעת וההגיון.</w:t>
      </w:r>
    </w:p>
    <w:p w:rsidR="000D324B" w:rsidRDefault="000D324B" w:rsidP="00736C04">
      <w:pPr>
        <w:pStyle w:val="ad"/>
        <w:numPr>
          <w:ilvl w:val="0"/>
          <w:numId w:val="1"/>
        </w:numPr>
        <w:tabs>
          <w:tab w:val="left" w:pos="425"/>
        </w:tabs>
        <w:spacing w:line="360" w:lineRule="auto"/>
        <w:ind w:left="708" w:hanging="425"/>
        <w:jc w:val="both"/>
        <w:rPr>
          <w:rFonts w:ascii="David" w:hAnsi="David" w:cs="David"/>
          <w:sz w:val="24"/>
          <w:szCs w:val="24"/>
        </w:rPr>
      </w:pPr>
      <w:r>
        <w:rPr>
          <w:rFonts w:ascii="David" w:hAnsi="David" w:cs="David"/>
          <w:sz w:val="24"/>
          <w:szCs w:val="24"/>
          <w:rtl/>
        </w:rPr>
        <w:t xml:space="preserve">עוד לטענת התובעת במקרה דנן גם חל סעיף 15 לחוק, במובן שהנתבע הטעה במכוון את התובעת להבין ולהאמין כי מדובר בהסכם חיי נישואין, שמטרתו להסדיר </w:t>
      </w:r>
      <w:r w:rsidR="00736C04">
        <w:rPr>
          <w:rFonts w:ascii="David" w:hAnsi="David" w:cs="David"/>
          <w:sz w:val="24"/>
          <w:szCs w:val="24"/>
          <w:rtl/>
        </w:rPr>
        <w:t>כספים שנצברו טרם הנישואין בלבד</w:t>
      </w:r>
      <w:r w:rsidR="00736C04">
        <w:rPr>
          <w:rFonts w:ascii="David" w:hAnsi="David" w:cs="David" w:hint="cs"/>
          <w:sz w:val="24"/>
          <w:szCs w:val="24"/>
          <w:rtl/>
        </w:rPr>
        <w:t xml:space="preserve">. </w:t>
      </w:r>
      <w:r>
        <w:rPr>
          <w:rFonts w:ascii="David" w:hAnsi="David" w:cs="David"/>
          <w:sz w:val="24"/>
          <w:szCs w:val="24"/>
          <w:rtl/>
        </w:rPr>
        <w:t xml:space="preserve">מדובר בהטעייה שהמשיכה לאורך כל השנים של הנתבע כלפי התובעת, על מנת שהתובעת תמשיך לשאת בתשלומי המשכנתא המשותפת. </w:t>
      </w:r>
    </w:p>
    <w:p w:rsidR="000D324B" w:rsidRDefault="000D324B" w:rsidP="00927F61">
      <w:pPr>
        <w:pStyle w:val="ad"/>
        <w:numPr>
          <w:ilvl w:val="0"/>
          <w:numId w:val="1"/>
        </w:numPr>
        <w:tabs>
          <w:tab w:val="left" w:pos="425"/>
        </w:tabs>
        <w:spacing w:line="360" w:lineRule="auto"/>
        <w:ind w:left="708" w:hanging="425"/>
        <w:jc w:val="both"/>
        <w:rPr>
          <w:rFonts w:ascii="David" w:hAnsi="David" w:cs="David"/>
          <w:sz w:val="24"/>
          <w:szCs w:val="24"/>
        </w:rPr>
      </w:pPr>
      <w:r>
        <w:rPr>
          <w:rFonts w:ascii="David" w:hAnsi="David" w:cs="David"/>
          <w:sz w:val="24"/>
          <w:szCs w:val="24"/>
          <w:rtl/>
        </w:rPr>
        <w:lastRenderedPageBreak/>
        <w:t>חתימת התובעת על הסכם הממון נעשתה, כך לשיטתה, על יסוד מצג שווא והטעייה מכוונת ואם היתה מודעת למשמעויות הסכם הממון ולכך שביום מן הימים</w:t>
      </w:r>
      <w:r w:rsidR="00927F61">
        <w:rPr>
          <w:rFonts w:ascii="David" w:hAnsi="David" w:cs="David"/>
          <w:sz w:val="24"/>
          <w:szCs w:val="24"/>
          <w:rtl/>
        </w:rPr>
        <w:t xml:space="preserve"> הסכם זה יביא אותה למצב בו תיוו</w:t>
      </w:r>
      <w:r>
        <w:rPr>
          <w:rFonts w:ascii="David" w:hAnsi="David" w:cs="David"/>
          <w:sz w:val="24"/>
          <w:szCs w:val="24"/>
          <w:rtl/>
        </w:rPr>
        <w:t>תר ללא קורת גג, חסרת כל, מצויה בחובות וחסרת אמצעים לא היתה חותמת על ההסכם</w:t>
      </w:r>
      <w:r w:rsidR="00927F61">
        <w:rPr>
          <w:rFonts w:ascii="David" w:hAnsi="David" w:cs="David" w:hint="cs"/>
          <w:sz w:val="24"/>
          <w:szCs w:val="24"/>
          <w:rtl/>
        </w:rPr>
        <w:t>.</w:t>
      </w:r>
    </w:p>
    <w:p w:rsidR="000D324B" w:rsidRDefault="00927F61" w:rsidP="00927F61">
      <w:pPr>
        <w:pStyle w:val="ad"/>
        <w:numPr>
          <w:ilvl w:val="0"/>
          <w:numId w:val="1"/>
        </w:numPr>
        <w:tabs>
          <w:tab w:val="left" w:pos="425"/>
        </w:tabs>
        <w:spacing w:line="360" w:lineRule="auto"/>
        <w:ind w:left="708" w:hanging="425"/>
        <w:jc w:val="both"/>
        <w:rPr>
          <w:rFonts w:ascii="David" w:hAnsi="David" w:cs="David"/>
          <w:sz w:val="24"/>
          <w:szCs w:val="24"/>
        </w:rPr>
      </w:pPr>
      <w:r>
        <w:rPr>
          <w:rFonts w:ascii="David" w:hAnsi="David" w:cs="David" w:hint="cs"/>
          <w:sz w:val="24"/>
          <w:szCs w:val="24"/>
          <w:rtl/>
        </w:rPr>
        <w:t>עוד</w:t>
      </w:r>
      <w:r w:rsidR="00ED2817">
        <w:rPr>
          <w:rFonts w:ascii="David" w:hAnsi="David" w:cs="David" w:hint="cs"/>
          <w:sz w:val="24"/>
          <w:szCs w:val="24"/>
          <w:rtl/>
        </w:rPr>
        <w:t xml:space="preserve"> </w:t>
      </w:r>
      <w:r w:rsidR="000D324B">
        <w:rPr>
          <w:rFonts w:ascii="David" w:hAnsi="David" w:cs="David"/>
          <w:sz w:val="24"/>
          <w:szCs w:val="24"/>
          <w:rtl/>
        </w:rPr>
        <w:t>טוענת התובעת כי במקרה דנן חל גם סעיף 17 לחוק – כפייה</w:t>
      </w:r>
      <w:r>
        <w:rPr>
          <w:rFonts w:ascii="David" w:hAnsi="David" w:cs="David" w:hint="cs"/>
          <w:sz w:val="24"/>
          <w:szCs w:val="24"/>
          <w:rtl/>
        </w:rPr>
        <w:t>,</w:t>
      </w:r>
      <w:r w:rsidR="000D324B">
        <w:rPr>
          <w:rFonts w:ascii="David" w:hAnsi="David" w:cs="David"/>
          <w:sz w:val="24"/>
          <w:szCs w:val="24"/>
          <w:rtl/>
        </w:rPr>
        <w:t xml:space="preserve"> הנתבע היה מודע לשליטה המוחלטת שלו בתובעת, הנתבע איים בגירושין וידע עד כמה התובעת חוששת מפרידה, הנתבע הבין את הכח שיש בידו כדי לדחוק את התובעת לפינה במקום הרגיש לה ביותר</w:t>
      </w:r>
      <w:r>
        <w:rPr>
          <w:rFonts w:ascii="David" w:hAnsi="David" w:cs="David" w:hint="cs"/>
          <w:sz w:val="24"/>
          <w:szCs w:val="24"/>
          <w:rtl/>
        </w:rPr>
        <w:t>,</w:t>
      </w:r>
      <w:r w:rsidR="000D324B">
        <w:rPr>
          <w:rFonts w:ascii="David" w:hAnsi="David" w:cs="David"/>
          <w:sz w:val="24"/>
          <w:szCs w:val="24"/>
          <w:rtl/>
        </w:rPr>
        <w:t xml:space="preserve"> ולמעשה כפה עליה חתימה על הסכם הממון.</w:t>
      </w:r>
    </w:p>
    <w:p w:rsidR="000D324B" w:rsidRDefault="000D324B" w:rsidP="000D324B">
      <w:pPr>
        <w:pStyle w:val="ad"/>
        <w:numPr>
          <w:ilvl w:val="0"/>
          <w:numId w:val="1"/>
        </w:numPr>
        <w:tabs>
          <w:tab w:val="left" w:pos="425"/>
        </w:tabs>
        <w:spacing w:line="360" w:lineRule="auto"/>
        <w:ind w:left="708" w:hanging="425"/>
        <w:jc w:val="both"/>
        <w:rPr>
          <w:rFonts w:ascii="David" w:hAnsi="David" w:cs="David"/>
          <w:sz w:val="24"/>
          <w:szCs w:val="24"/>
        </w:rPr>
      </w:pPr>
      <w:r>
        <w:rPr>
          <w:rFonts w:ascii="David" w:hAnsi="David" w:cs="David"/>
          <w:sz w:val="24"/>
          <w:szCs w:val="24"/>
          <w:rtl/>
        </w:rPr>
        <w:t>לטענת התובעת מדובר בדירה משותפת, אשר נרכשה על ידי הצדדים במשותף, כאשר נקלחה משכנתא משותפת, נפתח חשבון בנק משותף</w:t>
      </w:r>
      <w:r w:rsidR="00927F61">
        <w:rPr>
          <w:rFonts w:ascii="David" w:hAnsi="David" w:cs="David" w:hint="cs"/>
          <w:sz w:val="24"/>
          <w:szCs w:val="24"/>
          <w:rtl/>
        </w:rPr>
        <w:t>,</w:t>
      </w:r>
      <w:r>
        <w:rPr>
          <w:rFonts w:ascii="David" w:hAnsi="David" w:cs="David"/>
          <w:sz w:val="24"/>
          <w:szCs w:val="24"/>
          <w:rtl/>
        </w:rPr>
        <w:t xml:space="preserve"> למען החזר תשלומי המשכנתא</w:t>
      </w:r>
      <w:r w:rsidR="00927F61">
        <w:rPr>
          <w:rFonts w:ascii="David" w:hAnsi="David" w:cs="David" w:hint="cs"/>
          <w:sz w:val="24"/>
          <w:szCs w:val="24"/>
          <w:rtl/>
        </w:rPr>
        <w:t>,</w:t>
      </w:r>
      <w:r>
        <w:rPr>
          <w:rFonts w:ascii="David" w:hAnsi="David" w:cs="David"/>
          <w:sz w:val="24"/>
          <w:szCs w:val="24"/>
          <w:rtl/>
        </w:rPr>
        <w:t xml:space="preserve"> ומשנת 2013 הצדדים נושאים במשותף בתשלומי החזרי המשכנתא. יתר על כן, לטענת התובעת אין מחלוקת שהנתבע היה זקוק לתובעת בכדי לקחת משכנתא ובכדי לרכוש את דירת המגורים, והוא לא יכול היה ליטול משכנתא לבד ו/או לעמוד בהחזריה לבד. </w:t>
      </w:r>
    </w:p>
    <w:p w:rsidR="000D324B" w:rsidRDefault="000D324B" w:rsidP="000D324B">
      <w:pPr>
        <w:pStyle w:val="ad"/>
        <w:numPr>
          <w:ilvl w:val="0"/>
          <w:numId w:val="1"/>
        </w:numPr>
        <w:tabs>
          <w:tab w:val="left" w:pos="425"/>
        </w:tabs>
        <w:spacing w:line="360" w:lineRule="auto"/>
        <w:ind w:left="708" w:hanging="425"/>
        <w:jc w:val="both"/>
        <w:rPr>
          <w:rFonts w:ascii="David" w:hAnsi="David" w:cs="David"/>
          <w:sz w:val="24"/>
          <w:szCs w:val="24"/>
        </w:rPr>
      </w:pPr>
      <w:r>
        <w:rPr>
          <w:rFonts w:ascii="David" w:hAnsi="David" w:cs="David"/>
          <w:sz w:val="24"/>
          <w:szCs w:val="24"/>
          <w:rtl/>
        </w:rPr>
        <w:t>פעולות הצדדים בענין זה, לרבות שהתובעת היתה זו שהתנהלה אל מול הקבלן בשם הצדדים, מעידים על רצונם וכוונתם של הצדדים בקשר לדירת המגורים, והשותפות בה. ולראיה, הצדדים רשמו את דירת המגורים כדירה משותפת ובחלקים שווים.</w:t>
      </w:r>
    </w:p>
    <w:p w:rsidR="000D324B" w:rsidRDefault="000D324B" w:rsidP="000D324B">
      <w:pPr>
        <w:pStyle w:val="ad"/>
        <w:numPr>
          <w:ilvl w:val="0"/>
          <w:numId w:val="1"/>
        </w:numPr>
        <w:tabs>
          <w:tab w:val="left" w:pos="425"/>
        </w:tabs>
        <w:spacing w:line="360" w:lineRule="auto"/>
        <w:ind w:left="708" w:hanging="425"/>
        <w:jc w:val="both"/>
        <w:rPr>
          <w:rFonts w:ascii="David" w:hAnsi="David" w:cs="David"/>
          <w:sz w:val="24"/>
          <w:szCs w:val="24"/>
        </w:rPr>
      </w:pPr>
      <w:r>
        <w:rPr>
          <w:rFonts w:ascii="David" w:hAnsi="David" w:cs="David"/>
          <w:sz w:val="24"/>
          <w:szCs w:val="24"/>
          <w:rtl/>
        </w:rPr>
        <w:t>בשל כל אחת מהנסיבות שפורטו ובוודאי במשקלן המצטבר של כל הראיות, טוענת התובעת שעמדה בנטל המוטל עליה להוכיח שמדובר בהסכם שיש לבטלו.</w:t>
      </w:r>
    </w:p>
    <w:p w:rsidR="000D324B" w:rsidRDefault="000D324B" w:rsidP="000D324B">
      <w:pPr>
        <w:tabs>
          <w:tab w:val="left" w:pos="425"/>
        </w:tabs>
        <w:spacing w:line="360" w:lineRule="auto"/>
        <w:ind w:firstLine="283"/>
        <w:jc w:val="both"/>
        <w:rPr>
          <w:rFonts w:ascii="David" w:hAnsi="David"/>
          <w:b/>
          <w:bCs/>
          <w:sz w:val="26"/>
          <w:szCs w:val="26"/>
          <w:u w:val="single"/>
        </w:rPr>
      </w:pPr>
      <w:r>
        <w:rPr>
          <w:rFonts w:ascii="David" w:hAnsi="David"/>
          <w:b/>
          <w:bCs/>
          <w:sz w:val="26"/>
          <w:szCs w:val="26"/>
          <w:u w:val="single"/>
          <w:rtl/>
        </w:rPr>
        <w:t>טענות הנתבע בתמצית</w:t>
      </w:r>
    </w:p>
    <w:p w:rsidR="000D324B" w:rsidRDefault="000D324B" w:rsidP="00380A65">
      <w:pPr>
        <w:pStyle w:val="ad"/>
        <w:numPr>
          <w:ilvl w:val="0"/>
          <w:numId w:val="1"/>
        </w:numPr>
        <w:tabs>
          <w:tab w:val="left" w:pos="425"/>
        </w:tabs>
        <w:spacing w:line="360" w:lineRule="auto"/>
        <w:ind w:hanging="437"/>
        <w:jc w:val="both"/>
        <w:rPr>
          <w:rFonts w:ascii="David" w:hAnsi="David" w:cs="David"/>
          <w:sz w:val="24"/>
          <w:szCs w:val="24"/>
          <w:rtl/>
        </w:rPr>
      </w:pPr>
      <w:r>
        <w:rPr>
          <w:rFonts w:ascii="David" w:hAnsi="David" w:cs="David"/>
          <w:sz w:val="24"/>
          <w:szCs w:val="24"/>
          <w:rtl/>
        </w:rPr>
        <w:t>לטענת הנתבע כבר בשנת 2010 החלו הצדדים הליך מול עו"ד יאנסון לשם עריכת הסכם לחיי נישואין</w:t>
      </w:r>
      <w:r w:rsidR="00927F61">
        <w:rPr>
          <w:rFonts w:ascii="David" w:hAnsi="David" w:cs="David" w:hint="cs"/>
          <w:sz w:val="24"/>
          <w:szCs w:val="24"/>
          <w:rtl/>
        </w:rPr>
        <w:t>,</w:t>
      </w:r>
      <w:r>
        <w:rPr>
          <w:rFonts w:ascii="David" w:hAnsi="David" w:cs="David"/>
          <w:sz w:val="24"/>
          <w:szCs w:val="24"/>
          <w:rtl/>
        </w:rPr>
        <w:t xml:space="preserve"> ביוזמתה של התובעת אשר הכירה את עו"ד יאנסון ממקום עבודה בו עבדה.</w:t>
      </w:r>
    </w:p>
    <w:p w:rsidR="000D324B" w:rsidRDefault="000D324B" w:rsidP="00380A65">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לטענת הנתבע הצדדים שניהם, יחדיו, היו במשרדה של עו"ד יאנסון, קיבלו הסבר מלא על ההסכם וניהלו עימה שיחות טלפוניות.</w:t>
      </w:r>
    </w:p>
    <w:p w:rsidR="000D324B" w:rsidRDefault="000D324B" w:rsidP="00927F61">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טענות התובעת כאילו לא היתה שותפה ומעורבת בהליך, שקריות, כך לפי טענת הנתבע, היא היתה מכותבת למיילים, השיבה עליהם ואף ביקשה שיער</w:t>
      </w:r>
      <w:r w:rsidR="00927F61">
        <w:rPr>
          <w:rFonts w:ascii="David" w:hAnsi="David" w:cs="David" w:hint="cs"/>
          <w:sz w:val="24"/>
          <w:szCs w:val="24"/>
          <w:rtl/>
        </w:rPr>
        <w:t>כ</w:t>
      </w:r>
      <w:r>
        <w:rPr>
          <w:rFonts w:ascii="David" w:hAnsi="David" w:cs="David"/>
          <w:sz w:val="24"/>
          <w:szCs w:val="24"/>
          <w:rtl/>
        </w:rPr>
        <w:t xml:space="preserve">ו בנוסח </w:t>
      </w:r>
      <w:r w:rsidR="00927F61">
        <w:rPr>
          <w:rFonts w:ascii="David" w:hAnsi="David" w:cs="David" w:hint="cs"/>
          <w:sz w:val="24"/>
          <w:szCs w:val="24"/>
          <w:rtl/>
        </w:rPr>
        <w:t xml:space="preserve">ההסכם </w:t>
      </w:r>
      <w:r>
        <w:rPr>
          <w:rFonts w:ascii="David" w:hAnsi="David" w:cs="David"/>
          <w:sz w:val="24"/>
          <w:szCs w:val="24"/>
          <w:rtl/>
        </w:rPr>
        <w:t>שינויים.</w:t>
      </w:r>
    </w:p>
    <w:p w:rsidR="000D324B" w:rsidRDefault="000D324B" w:rsidP="00927F61">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הנתבע מפנה בסיכומיו לעדותה של עו"ד יאנסון</w:t>
      </w:r>
      <w:r w:rsidR="00927F61">
        <w:rPr>
          <w:rFonts w:ascii="David" w:hAnsi="David" w:cs="David" w:hint="cs"/>
          <w:sz w:val="24"/>
          <w:szCs w:val="24"/>
          <w:rtl/>
        </w:rPr>
        <w:t>,</w:t>
      </w:r>
      <w:r>
        <w:rPr>
          <w:rFonts w:ascii="David" w:hAnsi="David" w:cs="David"/>
          <w:sz w:val="24"/>
          <w:szCs w:val="24"/>
          <w:rtl/>
        </w:rPr>
        <w:t xml:space="preserve"> ממנה עולה</w:t>
      </w:r>
      <w:r w:rsidR="00927F61">
        <w:rPr>
          <w:rFonts w:ascii="David" w:hAnsi="David" w:cs="David" w:hint="cs"/>
          <w:sz w:val="24"/>
          <w:szCs w:val="24"/>
          <w:rtl/>
        </w:rPr>
        <w:t>, לטענתו,</w:t>
      </w:r>
      <w:r>
        <w:rPr>
          <w:rFonts w:ascii="David" w:hAnsi="David" w:cs="David"/>
          <w:sz w:val="24"/>
          <w:szCs w:val="24"/>
          <w:rtl/>
        </w:rPr>
        <w:t xml:space="preserve"> כי כל אחד מהצדדים קיבל העתק של ההסכם.</w:t>
      </w:r>
    </w:p>
    <w:p w:rsidR="000D324B" w:rsidRDefault="000D324B" w:rsidP="00380A65">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במהלך השנים 2010-2013 סילקה התובעת את הנתבע מדירת המגורים 3 פעמים, כאשר במהלך 2013 לשבועיים, ולא בשל מעשה אלימות, כי אם על מנת להפעיל עליו לחץ לרכוש דירה על חשבונו.</w:t>
      </w:r>
    </w:p>
    <w:p w:rsidR="000D324B" w:rsidRDefault="000D324B" w:rsidP="00380A65">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לטענת הנתבע התובעת לא חששה ממנו ולראיה הגיעה לבית הוריו, לאחר שסילקה אותו מדירת המגורים, ואמרה להם כי מאוד אוהבת את בנם רק שיש לו שני חסרונות, האחד שאינו מוכן לפתוח חשבון בנק משותף והשני שלא מוכן לקנות דירה על חשבונו.</w:t>
      </w:r>
    </w:p>
    <w:p w:rsidR="000D324B" w:rsidRDefault="000D324B" w:rsidP="00380A65">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lastRenderedPageBreak/>
        <w:t>באותו הביקור, טוען הנתבע , מקבלת התובעת הבטחה מהוריו לקבלת הלוואה, מאחורי גבו ותוך ניצול הרחקתו.</w:t>
      </w:r>
    </w:p>
    <w:p w:rsidR="000D324B" w:rsidRDefault="000D324B" w:rsidP="00380A65">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לטענת הנתבע הסכם הממון אושר על ידי בית המשפט</w:t>
      </w:r>
      <w:r w:rsidR="00ED2817">
        <w:rPr>
          <w:rFonts w:ascii="David" w:hAnsi="David" w:cs="David" w:hint="cs"/>
          <w:sz w:val="24"/>
          <w:szCs w:val="24"/>
          <w:rtl/>
        </w:rPr>
        <w:t>,</w:t>
      </w:r>
      <w:r>
        <w:rPr>
          <w:rFonts w:ascii="David" w:hAnsi="David" w:cs="David"/>
          <w:sz w:val="24"/>
          <w:szCs w:val="24"/>
          <w:rtl/>
        </w:rPr>
        <w:t xml:space="preserve"> לאחר שבית המשפט התרשם כי הצדדים חתמו עליו תוך גמירות דעת, ללא השפעה אסורה ולאחר שבית המשפט נתן לצדדים הסבר בשפה פשוטה על תוצאות ההסכם ומשמעויותיו.</w:t>
      </w:r>
    </w:p>
    <w:p w:rsidR="000D324B" w:rsidRDefault="000D324B" w:rsidP="00380A65">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יתר על כן, גם עו"ד יאנסון, אשר ייצגה את שני הצדדים, ציינה 3 פעמים כי נתנה הסבר מלא לצדדים ואלה מסכימים לאשרו.</w:t>
      </w:r>
    </w:p>
    <w:p w:rsidR="000D324B" w:rsidRDefault="000D324B" w:rsidP="00380A65">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גם התובעת בעצמה העידה בפני בית המשפט, ביום אישור ההסכם, כי מסכימה עם כל מה שכתוב בהסכם ולא תבוא לבית המשפט לבטלו.</w:t>
      </w:r>
    </w:p>
    <w:p w:rsidR="000D324B" w:rsidRDefault="000D324B" w:rsidP="00380A65">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לטענת הנתבע מיד לאחר אישור הסכם הממון בבית המשפט</w:t>
      </w:r>
      <w:r w:rsidR="00ED2817">
        <w:rPr>
          <w:rFonts w:ascii="David" w:hAnsi="David" w:cs="David" w:hint="cs"/>
          <w:sz w:val="24"/>
          <w:szCs w:val="24"/>
          <w:rtl/>
        </w:rPr>
        <w:t>,</w:t>
      </w:r>
      <w:r>
        <w:rPr>
          <w:rFonts w:ascii="David" w:hAnsi="David" w:cs="David"/>
          <w:sz w:val="24"/>
          <w:szCs w:val="24"/>
          <w:rtl/>
        </w:rPr>
        <w:t xml:space="preserve"> עסקה התובעת בחתימה על הסכם רכישת דירת המגורים, חתימה על הסכם ההלוואה והתנהלות מול הקבלן ומול הבנקים ללא כל חולשה, תוך שהיא מלאת יוזמה עצמית ולא תחת כפיה.</w:t>
      </w:r>
    </w:p>
    <w:p w:rsidR="000D324B" w:rsidRDefault="000D324B" w:rsidP="00380A65">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לטענת הנתבע, במהלך אישור ההסכם בבית המשפט, הבהיר את כוונת הצדדים בהסכם</w:t>
      </w:r>
      <w:r w:rsidR="00ED2817">
        <w:rPr>
          <w:rFonts w:ascii="David" w:hAnsi="David" w:cs="David" w:hint="cs"/>
          <w:sz w:val="24"/>
          <w:szCs w:val="24"/>
          <w:rtl/>
        </w:rPr>
        <w:t>,</w:t>
      </w:r>
      <w:r>
        <w:rPr>
          <w:rFonts w:ascii="David" w:hAnsi="David" w:cs="David"/>
          <w:sz w:val="24"/>
          <w:szCs w:val="24"/>
          <w:rtl/>
        </w:rPr>
        <w:t xml:space="preserve"> תוך שציין מפורשות כי הכוונה שאם תירכש דירה היא תהיה שלו אם הצדדים יתגרשו, וכי הוא ישלם את המשכנתא והתובעת תשלם הוצאות אחרות, או </w:t>
      </w:r>
      <w:r w:rsidR="00ED2817">
        <w:rPr>
          <w:rFonts w:ascii="David" w:hAnsi="David" w:cs="David" w:hint="cs"/>
          <w:sz w:val="24"/>
          <w:szCs w:val="24"/>
          <w:rtl/>
        </w:rPr>
        <w:t>להפך</w:t>
      </w:r>
      <w:r>
        <w:rPr>
          <w:rFonts w:ascii="David" w:hAnsi="David" w:cs="David"/>
          <w:sz w:val="24"/>
          <w:szCs w:val="24"/>
          <w:rtl/>
        </w:rPr>
        <w:t>.</w:t>
      </w:r>
    </w:p>
    <w:p w:rsidR="000D324B" w:rsidRDefault="000D324B" w:rsidP="00380A65">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עוד מוסיף הנתבע ומציין כי התובעת, בניגוד לכל טענותיה, הבהירה בדיון לאישור ההסכם כי היא נותנת בו אמון מלא ומסכימה לדבריו.</w:t>
      </w:r>
    </w:p>
    <w:p w:rsidR="000D324B" w:rsidRDefault="000D324B" w:rsidP="00380A65">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עוד מצביע הנתבע על התנהלות הצדדים במהלך דיון אישור ההסכם באופן שיצאו להתייעצות נוספת, בשפה הרוסית, עם עו"ד יאנסון, וכששבו לאולם, עו"ד יאנסון, אשר ייצגה את שני הצדדים, טענה לפרוטוקול כי נתנה ייעוץ מלא לתובעת לגבי משמעות ההסכם והיא מבקשת שההסכם יאושר.</w:t>
      </w:r>
    </w:p>
    <w:p w:rsidR="000D324B" w:rsidRDefault="000D324B" w:rsidP="00380A65">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הנתבע גם מפנה לפרוטוקול דיון אישור ההסכם</w:t>
      </w:r>
      <w:r w:rsidR="00ED2817">
        <w:rPr>
          <w:rFonts w:ascii="David" w:hAnsi="David" w:cs="David" w:hint="cs"/>
          <w:sz w:val="24"/>
          <w:szCs w:val="24"/>
          <w:rtl/>
        </w:rPr>
        <w:t>,</w:t>
      </w:r>
      <w:r>
        <w:rPr>
          <w:rFonts w:ascii="David" w:hAnsi="David" w:cs="David"/>
          <w:sz w:val="24"/>
          <w:szCs w:val="24"/>
          <w:rtl/>
        </w:rPr>
        <w:t xml:space="preserve"> ממנו ניתן </w:t>
      </w:r>
      <w:r w:rsidR="00E02A95">
        <w:rPr>
          <w:rFonts w:ascii="David" w:hAnsi="David" w:cs="David" w:hint="cs"/>
          <w:sz w:val="24"/>
          <w:szCs w:val="24"/>
          <w:rtl/>
        </w:rPr>
        <w:t>ל</w:t>
      </w:r>
      <w:r>
        <w:rPr>
          <w:rFonts w:ascii="David" w:hAnsi="David" w:cs="David"/>
          <w:sz w:val="24"/>
          <w:szCs w:val="24"/>
          <w:rtl/>
        </w:rPr>
        <w:t>למוד כי התובעת מבהירה שוב לבית המשפט שמוכנה לפעול בשותפות בתשלומי המשכנתא, למרות שמדובר בתשלומים על דירת מגורים, המוחרגת בעת פרידה, וזאת על מנת לשפר את רמת החיים.</w:t>
      </w:r>
    </w:p>
    <w:p w:rsidR="000D324B" w:rsidRDefault="000D324B" w:rsidP="00380A65">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הנתבע טוען כי לא בכדי תיקן את התובעת, במהלך עדותה ב</w:t>
      </w:r>
      <w:r w:rsidR="00ED2817">
        <w:rPr>
          <w:rFonts w:ascii="David" w:hAnsi="David" w:cs="David" w:hint="cs"/>
          <w:sz w:val="24"/>
          <w:szCs w:val="24"/>
          <w:rtl/>
        </w:rPr>
        <w:t>פ</w:t>
      </w:r>
      <w:r>
        <w:rPr>
          <w:rFonts w:ascii="David" w:hAnsi="David" w:cs="David"/>
          <w:sz w:val="24"/>
          <w:szCs w:val="24"/>
          <w:rtl/>
        </w:rPr>
        <w:t xml:space="preserve">ני בית המשפט, כאשר אמרה "דירה משותפת" והבהיר כי ככל שיהיו נשואים יגורו במשותף. </w:t>
      </w:r>
    </w:p>
    <w:p w:rsidR="000D324B" w:rsidRDefault="000D324B" w:rsidP="00ED2817">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לטענת הנתבע התובעת הבינה על מה חתמה, והכלל הוא כי מי שחותם על מסמך משפטי מוחזק כמי שקרא, הבין והסכים לתוכנו, במיוחד כאשר מדובר בנכסי</w:t>
      </w:r>
      <w:r w:rsidR="00ED2817">
        <w:rPr>
          <w:rFonts w:ascii="David" w:hAnsi="David" w:cs="David" w:hint="cs"/>
          <w:sz w:val="24"/>
          <w:szCs w:val="24"/>
          <w:rtl/>
        </w:rPr>
        <w:t>ם</w:t>
      </w:r>
      <w:r>
        <w:rPr>
          <w:rFonts w:ascii="David" w:hAnsi="David" w:cs="David"/>
          <w:sz w:val="24"/>
          <w:szCs w:val="24"/>
          <w:rtl/>
        </w:rPr>
        <w:t>, ולא תוכל להישמע מפיו הטענה שלא כך.</w:t>
      </w:r>
    </w:p>
    <w:p w:rsidR="000D324B" w:rsidRDefault="000D324B" w:rsidP="00380A65">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עוד מוסיף הנתבע וטוען כי מי שחתם על מסמך תוך הסתמכות עיוורת על יועץ המהיימן עליו, מנוע מלהעלות את הטענה שלא הבין על מה חותם, ובמקרה דנן, טוען כי הדבר נכון לגבי חתימתה על המשכנתא.</w:t>
      </w:r>
    </w:p>
    <w:p w:rsidR="000D324B" w:rsidRDefault="000D324B" w:rsidP="00380A65">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לטענת הנתבע הנטל המוטל על התובעת לטעון כנגד הסכם הממון הינו מוגבר עוד יותר</w:t>
      </w:r>
      <w:r w:rsidR="00ED2817">
        <w:rPr>
          <w:rFonts w:ascii="David" w:hAnsi="David" w:cs="David" w:hint="cs"/>
          <w:sz w:val="24"/>
          <w:szCs w:val="24"/>
          <w:rtl/>
        </w:rPr>
        <w:t>,</w:t>
      </w:r>
      <w:r>
        <w:rPr>
          <w:rFonts w:ascii="David" w:hAnsi="David" w:cs="David"/>
          <w:sz w:val="24"/>
          <w:szCs w:val="24"/>
          <w:rtl/>
        </w:rPr>
        <w:t xml:space="preserve"> שכן מדובר בהסכם ממון שאושר על ידי בית המשפט וקיבל תוקף של פסק דין.</w:t>
      </w:r>
    </w:p>
    <w:p w:rsidR="000D324B" w:rsidRDefault="000D324B" w:rsidP="00ED2817">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lastRenderedPageBreak/>
        <w:t xml:space="preserve">לטענת הנתבע כל טענות התובעת כאילו מדובר באדם מתעלל פיזית ונפשית נדחו </w:t>
      </w:r>
      <w:r w:rsidR="00ED2817">
        <w:rPr>
          <w:rFonts w:ascii="David" w:hAnsi="David" w:cs="David" w:hint="cs"/>
          <w:sz w:val="24"/>
          <w:szCs w:val="24"/>
          <w:rtl/>
        </w:rPr>
        <w:t>ב</w:t>
      </w:r>
      <w:r>
        <w:rPr>
          <w:rFonts w:ascii="David" w:hAnsi="David" w:cs="David"/>
          <w:sz w:val="24"/>
          <w:szCs w:val="24"/>
          <w:rtl/>
        </w:rPr>
        <w:t>החלטה שיפוטית מיום 18.4.22.</w:t>
      </w:r>
    </w:p>
    <w:p w:rsidR="000D324B" w:rsidRDefault="000D324B" w:rsidP="00380A65">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לטענת העושק משיב הנתבע כי טענה זו לא יכולה לעמוד בקנה אחד עם העובדה שהתובעת, בשנת 2013, מכותבת ל- 10 מיילים על שינויים בהסכם.</w:t>
      </w:r>
    </w:p>
    <w:p w:rsidR="000D324B" w:rsidRDefault="000D324B" w:rsidP="00380A65">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לטענת הנתבע התובעת רודפת בצע, אשר ניסתה לסחוט את הנתבע לרכוש דירה על חשבונו, כי זו תפיסתה.</w:t>
      </w:r>
    </w:p>
    <w:p w:rsidR="000D324B" w:rsidRDefault="000D324B" w:rsidP="00ED2817">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לטענת הנתבע ההסכם מבטיח את זכויותיו וכספיו שנצברו לפני הנישואין ו</w:t>
      </w:r>
      <w:r w:rsidR="00ED2817">
        <w:rPr>
          <w:rFonts w:ascii="David" w:hAnsi="David" w:cs="David" w:hint="cs"/>
          <w:sz w:val="24"/>
          <w:szCs w:val="24"/>
          <w:rtl/>
        </w:rPr>
        <w:t xml:space="preserve">הוא נחתם </w:t>
      </w:r>
      <w:r>
        <w:rPr>
          <w:rFonts w:ascii="David" w:hAnsi="David" w:cs="David"/>
          <w:sz w:val="24"/>
          <w:szCs w:val="24"/>
          <w:rtl/>
        </w:rPr>
        <w:t>לשם אמצעי זהירות ולא בכפייה.</w:t>
      </w:r>
    </w:p>
    <w:p w:rsidR="000D324B" w:rsidRDefault="000D324B" w:rsidP="00ED2817">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 xml:space="preserve">גם לאחר שבית המשפט </w:t>
      </w:r>
      <w:r w:rsidR="00ED2817">
        <w:rPr>
          <w:rFonts w:ascii="David" w:hAnsi="David" w:cs="David" w:hint="cs"/>
          <w:sz w:val="24"/>
          <w:szCs w:val="24"/>
          <w:rtl/>
        </w:rPr>
        <w:t>ה</w:t>
      </w:r>
      <w:r>
        <w:rPr>
          <w:rFonts w:ascii="David" w:hAnsi="David" w:cs="David"/>
          <w:sz w:val="24"/>
          <w:szCs w:val="24"/>
          <w:rtl/>
        </w:rPr>
        <w:t>בהיר לתובעת</w:t>
      </w:r>
      <w:r w:rsidR="00ED2817">
        <w:rPr>
          <w:rFonts w:ascii="David" w:hAnsi="David" w:cs="David" w:hint="cs"/>
          <w:sz w:val="24"/>
          <w:szCs w:val="24"/>
          <w:rtl/>
        </w:rPr>
        <w:t>,</w:t>
      </w:r>
      <w:r>
        <w:rPr>
          <w:rFonts w:ascii="David" w:hAnsi="David" w:cs="David"/>
          <w:sz w:val="24"/>
          <w:szCs w:val="24"/>
          <w:rtl/>
        </w:rPr>
        <w:t xml:space="preserve"> בשפה פש</w:t>
      </w:r>
      <w:r w:rsidR="00E02A95">
        <w:rPr>
          <w:rFonts w:ascii="David" w:hAnsi="David" w:cs="David" w:hint="cs"/>
          <w:sz w:val="24"/>
          <w:szCs w:val="24"/>
          <w:rtl/>
        </w:rPr>
        <w:t>ו</w:t>
      </w:r>
      <w:r>
        <w:rPr>
          <w:rFonts w:ascii="David" w:hAnsi="David" w:cs="David"/>
          <w:sz w:val="24"/>
          <w:szCs w:val="24"/>
          <w:rtl/>
        </w:rPr>
        <w:t>טה</w:t>
      </w:r>
      <w:r w:rsidR="00ED2817">
        <w:rPr>
          <w:rFonts w:ascii="David" w:hAnsi="David" w:cs="David" w:hint="cs"/>
          <w:sz w:val="24"/>
          <w:szCs w:val="24"/>
          <w:rtl/>
        </w:rPr>
        <w:t>,</w:t>
      </w:r>
      <w:r>
        <w:rPr>
          <w:rFonts w:ascii="David" w:hAnsi="David" w:cs="David"/>
          <w:sz w:val="24"/>
          <w:szCs w:val="24"/>
          <w:rtl/>
        </w:rPr>
        <w:t xml:space="preserve"> כי היא מקופחת</w:t>
      </w:r>
      <w:r w:rsidR="00ED2817">
        <w:rPr>
          <w:rFonts w:ascii="David" w:hAnsi="David" w:cs="David" w:hint="cs"/>
          <w:sz w:val="24"/>
          <w:szCs w:val="24"/>
          <w:rtl/>
        </w:rPr>
        <w:t>,</w:t>
      </w:r>
      <w:r>
        <w:rPr>
          <w:rFonts w:ascii="David" w:hAnsi="David" w:cs="David"/>
          <w:sz w:val="24"/>
          <w:szCs w:val="24"/>
          <w:rtl/>
        </w:rPr>
        <w:t xml:space="preserve"> התובעת </w:t>
      </w:r>
      <w:r w:rsidR="00ED2817">
        <w:rPr>
          <w:rFonts w:ascii="David" w:hAnsi="David" w:cs="David" w:hint="cs"/>
          <w:sz w:val="24"/>
          <w:szCs w:val="24"/>
          <w:rtl/>
        </w:rPr>
        <w:t xml:space="preserve">הסכימה </w:t>
      </w:r>
      <w:r>
        <w:rPr>
          <w:rFonts w:ascii="David" w:hAnsi="David" w:cs="David"/>
          <w:sz w:val="24"/>
          <w:szCs w:val="24"/>
          <w:rtl/>
        </w:rPr>
        <w:t xml:space="preserve">עם הקיפוח </w:t>
      </w:r>
      <w:r w:rsidR="00ED2817">
        <w:rPr>
          <w:rFonts w:ascii="David" w:hAnsi="David" w:cs="David" w:hint="cs"/>
          <w:sz w:val="24"/>
          <w:szCs w:val="24"/>
          <w:rtl/>
        </w:rPr>
        <w:t>ואמרה</w:t>
      </w:r>
      <w:r>
        <w:rPr>
          <w:rFonts w:ascii="David" w:hAnsi="David" w:cs="David"/>
          <w:sz w:val="24"/>
          <w:szCs w:val="24"/>
          <w:rtl/>
        </w:rPr>
        <w:t xml:space="preserve"> במפורש שלא תבוא לבית המשפט בטענות לאחר אישור ההסכם.</w:t>
      </w:r>
    </w:p>
    <w:p w:rsidR="000D324B" w:rsidRDefault="000D324B" w:rsidP="00380A65">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לגבי מצבה של התובעת בעת חתימת ההסכם טוען הנתבע כי התובעת העידה כי לא היתה בהריון, כי הרגישה טוב, כי לא היתה בטיפול פסיכיאטרי, לא באשפוז ואף לא היתה עדות להרגשת חולשה.</w:t>
      </w:r>
    </w:p>
    <w:p w:rsidR="000D324B" w:rsidRDefault="000D324B" w:rsidP="00380A65">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לתובעת בני משפחה בארץ שיכולה היתה, אם היה צורך, לפנות אליהם.</w:t>
      </w:r>
    </w:p>
    <w:p w:rsidR="000D324B" w:rsidRDefault="000D324B" w:rsidP="00380A65">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התובעת לא פנתה לרווחה, לא קיבלה קצבת נכות.</w:t>
      </w:r>
    </w:p>
    <w:p w:rsidR="000D324B" w:rsidRDefault="000D324B" w:rsidP="00E62885">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לשיטתו של הנתבע כל טענות התובעת לגבי מצב חולשה או מצוקה, דינן להידחות. הן לא הוכחו ואף להיפך</w:t>
      </w:r>
      <w:r w:rsidR="00E62885" w:rsidRPr="00E62885">
        <w:rPr>
          <w:rFonts w:ascii="David" w:hAnsi="David" w:cs="David"/>
          <w:sz w:val="24"/>
          <w:szCs w:val="24"/>
          <w:rtl/>
        </w:rPr>
        <w:t xml:space="preserve"> </w:t>
      </w:r>
      <w:r w:rsidR="00E62885">
        <w:rPr>
          <w:rFonts w:ascii="David" w:hAnsi="David" w:cs="David" w:hint="cs"/>
          <w:sz w:val="24"/>
          <w:szCs w:val="24"/>
          <w:rtl/>
        </w:rPr>
        <w:t>התובעת היא זו</w:t>
      </w:r>
      <w:r w:rsidR="00E62885">
        <w:rPr>
          <w:rFonts w:ascii="David" w:hAnsi="David" w:cs="David"/>
          <w:sz w:val="24"/>
          <w:szCs w:val="24"/>
          <w:rtl/>
        </w:rPr>
        <w:t xml:space="preserve"> שסילקה אותו מהבית.</w:t>
      </w:r>
    </w:p>
    <w:p w:rsidR="000D324B" w:rsidRDefault="000D324B" w:rsidP="00ED2817">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 xml:space="preserve">גם את טענות התובעת לגבי אי ידיעת השפה העברית וחוסר ניסיון משפטי יש לדחות, כך לטענת הנתבע. באותה התקופה שבה חתמה התובעת על הסכם הממון, היא גם חתמה על הסכם לרכישת דירת מגורים, חתמה </w:t>
      </w:r>
      <w:r w:rsidR="00ED2817">
        <w:rPr>
          <w:rFonts w:ascii="David" w:hAnsi="David" w:cs="David" w:hint="cs"/>
          <w:sz w:val="24"/>
          <w:szCs w:val="24"/>
          <w:rtl/>
        </w:rPr>
        <w:t>גם</w:t>
      </w:r>
      <w:r>
        <w:rPr>
          <w:rFonts w:ascii="David" w:hAnsi="David" w:cs="David"/>
          <w:sz w:val="24"/>
          <w:szCs w:val="24"/>
          <w:rtl/>
        </w:rPr>
        <w:t xml:space="preserve"> על הסכם הלוואה, התנהלה מול הבנקים ומול הקבלנים, העבירה כספים מחשבון הבנק של הנתבע ועוד. </w:t>
      </w:r>
    </w:p>
    <w:p w:rsidR="000D324B" w:rsidRDefault="000D324B" w:rsidP="00380A65">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לתובעת יש ניסיון לימודי, שירתה בצבא, ידע אקדמי עשיר בעברית, ולכן לא ניתן לקבל כל טענה של אי ידיעת השפה ו/או חוסר ניסיון משפטי.</w:t>
      </w:r>
    </w:p>
    <w:p w:rsidR="000D324B" w:rsidRDefault="000D324B" w:rsidP="00380A65">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לטענת הנתבע הוא בעל הזכות לעשות בכספיו כרצונו ואף להגן על כספים אלה בהסכם ממון וכוחנות התובעת והמניפולטיביות שלה לא תשנה את דעתו.</w:t>
      </w:r>
    </w:p>
    <w:p w:rsidR="000D324B" w:rsidRDefault="000D324B" w:rsidP="00380A65">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לטענת התובעת כאילו מדובר בהסכם דרקוני ומקפח טוען הנתבע כי היא זו שניהלה את ההסכם ואין לה את מי להאשים אלא את עצמה. יתר על כן, באישור ההסכם בית המשפט איפשר לתובעת לבחון האם מקופחת והיא חזרה ואמרה שמסכימה להכל על מנת לשפר את רמת החיים שלה, ואף התחייבה כי לא תגיש תביעה לביטול ההסכם.</w:t>
      </w:r>
    </w:p>
    <w:p w:rsidR="000D324B" w:rsidRDefault="000D324B" w:rsidP="00380A65">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 xml:space="preserve">לטענת הנתבע התובעת לא הצליחה להוכיח את שלושת התנאים המצטברים הקבועים בסעיף 18 לחוק החוזים וכך גם לא הצליחה להוכיח את יסוד הטעות/הטעייה המוגדרים בסעיף 15 לחוק החוזים. </w:t>
      </w:r>
    </w:p>
    <w:p w:rsidR="000D324B" w:rsidRDefault="000D324B" w:rsidP="00380A65">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לטענת הנתבע כל טענות התובעת הינן טענות לכדאיות העסקה, וזו אינה עילה לביטול הסכם. ובמקרה דנן לכל היותר מדובר בטעות בהערכת סיכויים וסיכונים.</w:t>
      </w:r>
    </w:p>
    <w:p w:rsidR="000D324B" w:rsidRDefault="000D324B" w:rsidP="00380A65">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lastRenderedPageBreak/>
        <w:t xml:space="preserve"> לשיטתו של הנתבע התובעת פועלת עתה בחוסר תום לב, עת עותרת לביטול ההסכם, לאחר שהתגוררה בדירת המגורים כ- 9 שנים, הנתבע שילם כ- 1 מיליון ₪ הון עצמי מחסכונותיו, ושילם את המשכנתא והיא זו ששיפרה את רמת החיים. התובעת, לטענת הנתבע, עושה שימוש לרעה בהליכי משפט על מנת ליצור לו נזקים.</w:t>
      </w:r>
    </w:p>
    <w:p w:rsidR="000D324B" w:rsidRDefault="000D324B" w:rsidP="00380A65">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עוד מוסיף וטוען הנתבע כי מדובר בהשתק שיפוטי מאחר ומדובר בתביעה לביטול הסכם שאושר בפסק דין חלוט על סמך טענות סרק.</w:t>
      </w:r>
    </w:p>
    <w:p w:rsidR="000D324B" w:rsidRDefault="000D324B" w:rsidP="00380A65">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הנתבע מוסיף כי יש סתירות בין טענות התובעת בכתבי טענותיה לבין עדותה בדיונים השונים, וכי בסיכומיה טענה טענות חדשות שהן בגדר הרחבת חזית.</w:t>
      </w:r>
    </w:p>
    <w:p w:rsidR="000D324B" w:rsidRDefault="000D324B" w:rsidP="00380A65">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 xml:space="preserve">לסיום טוען התובע כי יש לאכוף את ההסכם, גם בשל העובדה שהתובעת לא פעלה על פי הוראות סעיף 20 לחוק החוזים הקובעות את התנאים לביטול חוזה. </w:t>
      </w:r>
    </w:p>
    <w:p w:rsidR="000D324B" w:rsidRDefault="000D324B" w:rsidP="00380A65">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הנתבע עותר לדחות את התביעה ולחייב את התובעת בהוצאות.</w:t>
      </w:r>
    </w:p>
    <w:p w:rsidR="000D324B" w:rsidRDefault="000D324B" w:rsidP="000D324B">
      <w:pPr>
        <w:tabs>
          <w:tab w:val="left" w:pos="425"/>
        </w:tabs>
        <w:spacing w:line="360" w:lineRule="auto"/>
        <w:ind w:firstLine="283"/>
        <w:jc w:val="both"/>
        <w:rPr>
          <w:rFonts w:ascii="David" w:hAnsi="David"/>
          <w:b/>
          <w:bCs/>
          <w:sz w:val="26"/>
          <w:szCs w:val="26"/>
          <w:u w:val="single"/>
        </w:rPr>
      </w:pPr>
      <w:r>
        <w:rPr>
          <w:rFonts w:ascii="David" w:hAnsi="David"/>
          <w:b/>
          <w:bCs/>
          <w:sz w:val="26"/>
          <w:szCs w:val="26"/>
          <w:u w:val="single"/>
          <w:rtl/>
        </w:rPr>
        <w:t>דיון והכרעה</w:t>
      </w:r>
    </w:p>
    <w:p w:rsidR="000D324B" w:rsidRDefault="000D324B" w:rsidP="00380A65">
      <w:pPr>
        <w:pStyle w:val="ad"/>
        <w:numPr>
          <w:ilvl w:val="0"/>
          <w:numId w:val="1"/>
        </w:numPr>
        <w:tabs>
          <w:tab w:val="left" w:pos="425"/>
        </w:tabs>
        <w:spacing w:line="360" w:lineRule="auto"/>
        <w:ind w:hanging="437"/>
        <w:jc w:val="both"/>
        <w:rPr>
          <w:rFonts w:ascii="David" w:hAnsi="David" w:cs="David"/>
          <w:b/>
          <w:bCs/>
          <w:sz w:val="24"/>
          <w:szCs w:val="24"/>
          <w:rtl/>
        </w:rPr>
      </w:pPr>
      <w:r>
        <w:rPr>
          <w:rFonts w:ascii="David" w:hAnsi="David" w:cs="David"/>
          <w:b/>
          <w:bCs/>
          <w:sz w:val="24"/>
          <w:szCs w:val="24"/>
          <w:rtl/>
        </w:rPr>
        <w:t>כבר בראשית פרק זה אקדים ואומר כי התובעת לא הרימה את הנטל להוכחת אף אחת מטענותיה לביטול הסכם הממון כפי שיפורט להלן.</w:t>
      </w:r>
    </w:p>
    <w:p w:rsidR="000D324B" w:rsidRDefault="000D324B" w:rsidP="000D324B">
      <w:pPr>
        <w:tabs>
          <w:tab w:val="left" w:pos="425"/>
        </w:tabs>
        <w:spacing w:line="360" w:lineRule="auto"/>
        <w:ind w:firstLine="283"/>
        <w:jc w:val="both"/>
        <w:rPr>
          <w:rFonts w:ascii="David" w:hAnsi="David"/>
          <w:b/>
          <w:bCs/>
          <w:sz w:val="26"/>
          <w:szCs w:val="26"/>
          <w:u w:val="single"/>
          <w:rtl/>
        </w:rPr>
      </w:pPr>
      <w:r>
        <w:rPr>
          <w:rFonts w:ascii="David" w:hAnsi="David"/>
          <w:b/>
          <w:bCs/>
          <w:sz w:val="26"/>
          <w:szCs w:val="26"/>
          <w:u w:val="single"/>
          <w:rtl/>
        </w:rPr>
        <w:t>מעמד אישור הסכם הממון בפני בית המשפט</w:t>
      </w:r>
    </w:p>
    <w:p w:rsidR="000D324B" w:rsidRDefault="000D324B" w:rsidP="00126F2B">
      <w:pPr>
        <w:pStyle w:val="ad"/>
        <w:numPr>
          <w:ilvl w:val="0"/>
          <w:numId w:val="1"/>
        </w:numPr>
        <w:tabs>
          <w:tab w:val="left" w:pos="425"/>
        </w:tabs>
        <w:spacing w:line="360" w:lineRule="auto"/>
        <w:ind w:hanging="437"/>
        <w:jc w:val="both"/>
        <w:rPr>
          <w:rFonts w:ascii="David" w:hAnsi="David" w:cs="David"/>
          <w:b/>
          <w:bCs/>
          <w:sz w:val="24"/>
          <w:szCs w:val="24"/>
          <w:rtl/>
        </w:rPr>
      </w:pPr>
      <w:r>
        <w:rPr>
          <w:rFonts w:ascii="David" w:hAnsi="David" w:cs="David"/>
          <w:sz w:val="24"/>
          <w:szCs w:val="24"/>
          <w:rtl/>
        </w:rPr>
        <w:t>התובעת הקדישה פרק שלם למעמד אישור ההסכם בתביעתה, יחד עם זאת ציינה בראשיתו כי טענותיה אינן מופנות כלפי אישור ההסכם על ידי בית המשפט אלא להיפך</w:t>
      </w:r>
      <w:r>
        <w:rPr>
          <w:rFonts w:ascii="David" w:hAnsi="David" w:cs="David"/>
          <w:b/>
          <w:bCs/>
          <w:sz w:val="24"/>
          <w:szCs w:val="24"/>
          <w:rtl/>
        </w:rPr>
        <w:t xml:space="preserve"> "בית המשפט הנכבד הרגיש כי בתוך האולם ניצבים צדדים לא שגרתיים, בית המשפט הנכבד ביקש מהצדדים לצאת ולהתייעץ מחוץ לאולם על הכתוב בהסכם, בית המשפט הנכבד הבהיר לתובעת כי היא מקופחת בהסכם, בית המשפט הנכבד הרגיש וראה את כל מה שהתרחש בתוך אולמו" (סעיף 34 לכתב התביעה).</w:t>
      </w:r>
    </w:p>
    <w:p w:rsidR="000D324B" w:rsidRDefault="00126F2B" w:rsidP="00126F2B">
      <w:pPr>
        <w:pStyle w:val="ad"/>
        <w:numPr>
          <w:ilvl w:val="0"/>
          <w:numId w:val="1"/>
        </w:numPr>
        <w:tabs>
          <w:tab w:val="left" w:pos="425"/>
        </w:tabs>
        <w:spacing w:line="360" w:lineRule="auto"/>
        <w:ind w:hanging="437"/>
        <w:jc w:val="both"/>
        <w:rPr>
          <w:rFonts w:ascii="David" w:hAnsi="David" w:cs="David"/>
          <w:b/>
          <w:bCs/>
          <w:sz w:val="24"/>
          <w:szCs w:val="24"/>
        </w:rPr>
      </w:pPr>
      <w:r>
        <w:rPr>
          <w:rFonts w:ascii="David" w:hAnsi="David" w:cs="David" w:hint="cs"/>
          <w:sz w:val="24"/>
          <w:szCs w:val="24"/>
          <w:rtl/>
        </w:rPr>
        <w:t>אלא ש</w:t>
      </w:r>
      <w:r w:rsidR="000D324B">
        <w:rPr>
          <w:rFonts w:ascii="David" w:hAnsi="David" w:cs="David"/>
          <w:sz w:val="24"/>
          <w:szCs w:val="24"/>
          <w:rtl/>
        </w:rPr>
        <w:t>לטענתה של התובעת</w:t>
      </w:r>
      <w:r w:rsidR="000D324B">
        <w:rPr>
          <w:rFonts w:ascii="David" w:hAnsi="David" w:cs="David"/>
          <w:b/>
          <w:bCs/>
          <w:sz w:val="24"/>
          <w:szCs w:val="24"/>
          <w:rtl/>
        </w:rPr>
        <w:t xml:space="preserve"> "בית המשפט הנכבד לא יכל לראות את מה שהתחרש מתחת לשולחן ומאחורי הקלעים. את חולשתה ומצוקתה של התובעת, אשר הגיעה לחתום על הסכם דרקוני עם בעלה, מספר חודשים לאחר שזה הכה אותה נמרצות, איש לא יכול היה לראות, שכן את פחדיה, מצוקותיה וזעקתה לעזרה שמרה התובעת פנימה" (סעיף 35 לכתב התביעה).</w:t>
      </w:r>
    </w:p>
    <w:p w:rsidR="000D324B" w:rsidRDefault="000D324B" w:rsidP="00380A65">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עם כל הרצון הטוב של בית המשפט, אין בידו את היכולת והכלים לדעת עד תום מה קורה בדלת אמותיו של כל בעל דין שמופיע בפניו, רגשותיו ותחושותיו, ואף נהיר כי אין זה מתפקידו לבחון זאת. כאשר אין מחלוקת כי מדובר בבעל דין בגיר וכשיר, על אחת כמה וכמה. נוכח האמור נהיר כי בית המשפט לא יכול היה לדעת את מה שבחרה התובעת לשמור לעצמה פנימה מחד, ואין היא יכולה להלין על כך, מאידך.</w:t>
      </w:r>
    </w:p>
    <w:p w:rsidR="000D324B" w:rsidRDefault="000D324B" w:rsidP="00380A65">
      <w:pPr>
        <w:pStyle w:val="ad"/>
        <w:numPr>
          <w:ilvl w:val="0"/>
          <w:numId w:val="1"/>
        </w:numPr>
        <w:tabs>
          <w:tab w:val="left" w:pos="425"/>
        </w:tabs>
        <w:spacing w:line="360" w:lineRule="auto"/>
        <w:ind w:hanging="437"/>
        <w:jc w:val="both"/>
        <w:rPr>
          <w:rFonts w:ascii="David" w:hAnsi="David" w:cs="David"/>
          <w:b/>
          <w:bCs/>
          <w:sz w:val="24"/>
          <w:szCs w:val="24"/>
        </w:rPr>
      </w:pPr>
      <w:r>
        <w:rPr>
          <w:rFonts w:ascii="David" w:hAnsi="David" w:cs="David"/>
          <w:sz w:val="24"/>
          <w:szCs w:val="24"/>
          <w:rtl/>
        </w:rPr>
        <w:lastRenderedPageBreak/>
        <w:t xml:space="preserve">יחד עם זאת, ומעבר לנדרש, בית המשפט במקרה דנן, עשה כל שהיה בידו, על מנת לאפשר לתובעת להביא לידי ביטוי </w:t>
      </w:r>
      <w:r w:rsidR="00ED69B5" w:rsidRPr="00ED69B5">
        <w:rPr>
          <w:rFonts w:ascii="David" w:hAnsi="David" w:cs="David" w:hint="cs"/>
          <w:b/>
          <w:bCs/>
          <w:sz w:val="24"/>
          <w:szCs w:val="24"/>
          <w:rtl/>
        </w:rPr>
        <w:t>גם</w:t>
      </w:r>
      <w:r w:rsidR="00ED69B5">
        <w:rPr>
          <w:rFonts w:ascii="David" w:hAnsi="David" w:cs="David" w:hint="cs"/>
          <w:sz w:val="24"/>
          <w:szCs w:val="24"/>
          <w:rtl/>
        </w:rPr>
        <w:t xml:space="preserve"> </w:t>
      </w:r>
      <w:r>
        <w:rPr>
          <w:rFonts w:ascii="David" w:hAnsi="David" w:cs="David"/>
          <w:sz w:val="24"/>
          <w:szCs w:val="24"/>
          <w:rtl/>
        </w:rPr>
        <w:t>את אשר בליבה.</w:t>
      </w:r>
      <w:r w:rsidR="00E62885">
        <w:rPr>
          <w:rFonts w:ascii="David" w:hAnsi="David" w:cs="David" w:hint="cs"/>
          <w:sz w:val="24"/>
          <w:szCs w:val="24"/>
          <w:rtl/>
        </w:rPr>
        <w:t xml:space="preserve"> </w:t>
      </w:r>
      <w:r w:rsidR="00E62885" w:rsidRPr="00217A71">
        <w:rPr>
          <w:rFonts w:ascii="David" w:hAnsi="David" w:cs="David" w:hint="cs"/>
          <w:b/>
          <w:bCs/>
          <w:sz w:val="24"/>
          <w:szCs w:val="24"/>
          <w:rtl/>
        </w:rPr>
        <w:t xml:space="preserve">לשם ההוכחה </w:t>
      </w:r>
      <w:r w:rsidR="00ED69B5">
        <w:rPr>
          <w:rFonts w:ascii="David" w:hAnsi="David" w:cs="David" w:hint="cs"/>
          <w:b/>
          <w:bCs/>
          <w:sz w:val="24"/>
          <w:szCs w:val="24"/>
          <w:rtl/>
        </w:rPr>
        <w:t xml:space="preserve">ובשל חשיבות הענין, </w:t>
      </w:r>
      <w:r w:rsidR="00E62885" w:rsidRPr="00217A71">
        <w:rPr>
          <w:rFonts w:ascii="David" w:hAnsi="David" w:cs="David" w:hint="cs"/>
          <w:b/>
          <w:bCs/>
          <w:sz w:val="24"/>
          <w:szCs w:val="24"/>
          <w:rtl/>
        </w:rPr>
        <w:t>יובא להלן פרוטוקול אישור ההסכם</w:t>
      </w:r>
      <w:r w:rsidR="00ED69B5">
        <w:rPr>
          <w:rFonts w:ascii="David" w:hAnsi="David" w:cs="David" w:hint="cs"/>
          <w:b/>
          <w:bCs/>
          <w:sz w:val="24"/>
          <w:szCs w:val="24"/>
          <w:rtl/>
        </w:rPr>
        <w:t xml:space="preserve"> במלואו</w:t>
      </w:r>
      <w:r w:rsidR="00E62885" w:rsidRPr="00217A71">
        <w:rPr>
          <w:rFonts w:ascii="David" w:hAnsi="David" w:cs="David" w:hint="cs"/>
          <w:b/>
          <w:bCs/>
          <w:sz w:val="24"/>
          <w:szCs w:val="24"/>
          <w:rtl/>
        </w:rPr>
        <w:t>, כדלהלן:</w:t>
      </w:r>
    </w:p>
    <w:p w:rsidR="00FA6970" w:rsidRPr="00217A71" w:rsidRDefault="00FA6970" w:rsidP="00FA6970">
      <w:pPr>
        <w:pStyle w:val="ad"/>
        <w:tabs>
          <w:tab w:val="left" w:pos="425"/>
        </w:tabs>
        <w:spacing w:line="360" w:lineRule="auto"/>
        <w:jc w:val="both"/>
        <w:rPr>
          <w:rFonts w:ascii="David" w:hAnsi="David" w:cs="David"/>
          <w:b/>
          <w:bCs/>
          <w:sz w:val="24"/>
          <w:szCs w:val="24"/>
        </w:rPr>
      </w:pPr>
    </w:p>
    <w:p w:rsidR="00E62885" w:rsidRDefault="00217A71" w:rsidP="00E62885">
      <w:pPr>
        <w:pStyle w:val="ad"/>
        <w:tabs>
          <w:tab w:val="left" w:pos="425"/>
        </w:tabs>
        <w:spacing w:line="360" w:lineRule="auto"/>
        <w:jc w:val="both"/>
        <w:rPr>
          <w:rFonts w:ascii="David" w:hAnsi="David" w:cs="David"/>
          <w:sz w:val="24"/>
          <w:szCs w:val="24"/>
          <w:rtl/>
        </w:rPr>
      </w:pPr>
      <w:r w:rsidRPr="00217A71">
        <w:rPr>
          <w:rFonts w:ascii="David" w:hAnsi="David" w:cs="David"/>
          <w:noProof/>
          <w:sz w:val="24"/>
          <w:szCs w:val="24"/>
          <w:rtl/>
        </w:rPr>
        <w:drawing>
          <wp:inline distT="0" distB="0" distL="0" distR="0">
            <wp:extent cx="4437380" cy="4497566"/>
            <wp:effectExtent l="0" t="0" r="127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43255" cy="4503521"/>
                    </a:xfrm>
                    <a:prstGeom prst="rect">
                      <a:avLst/>
                    </a:prstGeom>
                    <a:noFill/>
                    <a:ln>
                      <a:noFill/>
                    </a:ln>
                  </pic:spPr>
                </pic:pic>
              </a:graphicData>
            </a:graphic>
          </wp:inline>
        </w:drawing>
      </w:r>
    </w:p>
    <w:p w:rsidR="00217A71" w:rsidRDefault="00217A71" w:rsidP="00E62885">
      <w:pPr>
        <w:pStyle w:val="ad"/>
        <w:tabs>
          <w:tab w:val="left" w:pos="425"/>
        </w:tabs>
        <w:spacing w:line="360" w:lineRule="auto"/>
        <w:jc w:val="both"/>
        <w:rPr>
          <w:rFonts w:ascii="David" w:hAnsi="David" w:cs="David"/>
          <w:sz w:val="24"/>
          <w:szCs w:val="24"/>
          <w:rtl/>
        </w:rPr>
      </w:pPr>
      <w:r w:rsidRPr="00217A71">
        <w:rPr>
          <w:rFonts w:ascii="David" w:hAnsi="David" w:cs="David"/>
          <w:noProof/>
          <w:sz w:val="24"/>
          <w:szCs w:val="24"/>
          <w:rtl/>
        </w:rPr>
        <w:lastRenderedPageBreak/>
        <w:drawing>
          <wp:inline distT="0" distB="0" distL="0" distR="0">
            <wp:extent cx="4689582" cy="5781675"/>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97458" cy="5791385"/>
                    </a:xfrm>
                    <a:prstGeom prst="rect">
                      <a:avLst/>
                    </a:prstGeom>
                    <a:noFill/>
                    <a:ln>
                      <a:noFill/>
                    </a:ln>
                  </pic:spPr>
                </pic:pic>
              </a:graphicData>
            </a:graphic>
          </wp:inline>
        </w:drawing>
      </w:r>
    </w:p>
    <w:p w:rsidR="00217A71" w:rsidRDefault="00217A71" w:rsidP="00E62885">
      <w:pPr>
        <w:pStyle w:val="ad"/>
        <w:tabs>
          <w:tab w:val="left" w:pos="425"/>
        </w:tabs>
        <w:spacing w:line="360" w:lineRule="auto"/>
        <w:jc w:val="both"/>
        <w:rPr>
          <w:rFonts w:ascii="David" w:hAnsi="David" w:cs="David"/>
          <w:sz w:val="24"/>
          <w:szCs w:val="24"/>
        </w:rPr>
      </w:pPr>
      <w:r w:rsidRPr="00217A71">
        <w:rPr>
          <w:rFonts w:ascii="David" w:hAnsi="David" w:cs="David"/>
          <w:noProof/>
          <w:sz w:val="24"/>
          <w:szCs w:val="24"/>
          <w:rtl/>
        </w:rPr>
        <w:lastRenderedPageBreak/>
        <w:drawing>
          <wp:inline distT="0" distB="0" distL="0" distR="0">
            <wp:extent cx="4590466" cy="4657725"/>
            <wp:effectExtent l="0" t="0" r="635"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92407" cy="4659694"/>
                    </a:xfrm>
                    <a:prstGeom prst="rect">
                      <a:avLst/>
                    </a:prstGeom>
                    <a:noFill/>
                    <a:ln>
                      <a:noFill/>
                    </a:ln>
                  </pic:spPr>
                </pic:pic>
              </a:graphicData>
            </a:graphic>
          </wp:inline>
        </w:drawing>
      </w:r>
    </w:p>
    <w:p w:rsidR="00FA6970" w:rsidRDefault="00FA6970" w:rsidP="00FA6970">
      <w:pPr>
        <w:pStyle w:val="ad"/>
        <w:tabs>
          <w:tab w:val="left" w:pos="425"/>
        </w:tabs>
        <w:spacing w:line="360" w:lineRule="auto"/>
        <w:jc w:val="both"/>
        <w:rPr>
          <w:rFonts w:ascii="David" w:hAnsi="David" w:cs="David"/>
          <w:b/>
          <w:bCs/>
          <w:sz w:val="24"/>
          <w:szCs w:val="24"/>
        </w:rPr>
      </w:pPr>
    </w:p>
    <w:p w:rsidR="000D324B" w:rsidRPr="00ED69B5" w:rsidRDefault="00E62885" w:rsidP="00ED69B5">
      <w:pPr>
        <w:pStyle w:val="ad"/>
        <w:numPr>
          <w:ilvl w:val="0"/>
          <w:numId w:val="1"/>
        </w:numPr>
        <w:tabs>
          <w:tab w:val="left" w:pos="425"/>
        </w:tabs>
        <w:spacing w:line="360" w:lineRule="auto"/>
        <w:ind w:hanging="437"/>
        <w:jc w:val="both"/>
        <w:rPr>
          <w:rFonts w:ascii="David" w:hAnsi="David" w:cs="David"/>
          <w:b/>
          <w:bCs/>
          <w:sz w:val="24"/>
          <w:szCs w:val="24"/>
        </w:rPr>
      </w:pPr>
      <w:r w:rsidRPr="00217A71">
        <w:rPr>
          <w:rFonts w:ascii="David" w:hAnsi="David" w:cs="David" w:hint="cs"/>
          <w:b/>
          <w:bCs/>
          <w:sz w:val="24"/>
          <w:szCs w:val="24"/>
          <w:rtl/>
        </w:rPr>
        <w:t xml:space="preserve">הנה כי כן </w:t>
      </w:r>
      <w:r w:rsidR="000D324B" w:rsidRPr="00217A71">
        <w:rPr>
          <w:rFonts w:ascii="David" w:hAnsi="David" w:cs="David"/>
          <w:b/>
          <w:bCs/>
          <w:sz w:val="24"/>
          <w:szCs w:val="24"/>
          <w:rtl/>
        </w:rPr>
        <w:t>בית המשפט שאל שוב ושוב את התובעת שאלות לגבי נוסחו של ההסכם, תוך שבחן את הבנתה למשמעויותיו</w:t>
      </w:r>
      <w:r w:rsidR="000D324B">
        <w:rPr>
          <w:rFonts w:ascii="David" w:hAnsi="David" w:cs="David"/>
          <w:sz w:val="24"/>
          <w:szCs w:val="24"/>
          <w:rtl/>
        </w:rPr>
        <w:t xml:space="preserve">. </w:t>
      </w:r>
      <w:r w:rsidR="000D324B" w:rsidRPr="00217A71">
        <w:rPr>
          <w:rFonts w:ascii="David" w:hAnsi="David" w:cs="David"/>
          <w:b/>
          <w:bCs/>
          <w:sz w:val="24"/>
          <w:szCs w:val="24"/>
          <w:rtl/>
        </w:rPr>
        <w:t>בית המשפט העיר, הבהיר, דרש תשובות, ואף חייב את הצדדים, ביניהם את התובעת, לצאת מהאולם, על מנת לקיים שיחה נוספת, שלא בפניו, עם עו"ד יאנסון שייצגה את הצדדים. לא יכולה להיות מחלוקת שבית המשפט בחן לא רק את ההסכם אלא גם את עמדות הצדדים לגביו</w:t>
      </w:r>
      <w:r w:rsidR="00ED69B5" w:rsidRPr="00ED69B5">
        <w:rPr>
          <w:rFonts w:ascii="David" w:hAnsi="David" w:cs="David" w:hint="cs"/>
          <w:b/>
          <w:bCs/>
          <w:sz w:val="24"/>
          <w:szCs w:val="24"/>
          <w:rtl/>
        </w:rPr>
        <w:t>, ואיפשר, יותר מפעם אחת, לומר את אשר על הלב</w:t>
      </w:r>
      <w:r w:rsidR="00ED69B5">
        <w:rPr>
          <w:rFonts w:ascii="David" w:hAnsi="David" w:cs="David" w:hint="cs"/>
          <w:b/>
          <w:bCs/>
          <w:sz w:val="24"/>
          <w:szCs w:val="24"/>
          <w:rtl/>
        </w:rPr>
        <w:t>, פנימה.</w:t>
      </w:r>
    </w:p>
    <w:p w:rsidR="000D324B" w:rsidRDefault="000D324B" w:rsidP="00380A65">
      <w:pPr>
        <w:pStyle w:val="ad"/>
        <w:numPr>
          <w:ilvl w:val="0"/>
          <w:numId w:val="1"/>
        </w:numPr>
        <w:tabs>
          <w:tab w:val="left" w:pos="425"/>
        </w:tabs>
        <w:spacing w:after="0" w:line="360" w:lineRule="auto"/>
        <w:ind w:hanging="437"/>
        <w:jc w:val="both"/>
        <w:rPr>
          <w:rFonts w:ascii="David" w:hAnsi="David" w:cs="David"/>
          <w:sz w:val="24"/>
          <w:szCs w:val="24"/>
        </w:rPr>
      </w:pPr>
      <w:r>
        <w:rPr>
          <w:rFonts w:ascii="David" w:hAnsi="David" w:cs="David"/>
          <w:sz w:val="24"/>
          <w:szCs w:val="24"/>
          <w:rtl/>
        </w:rPr>
        <w:t xml:space="preserve">כידוע, גם הסכם שאינו נושא תוקף של פסק דין צריך לכבד (וראה: </w:t>
      </w:r>
      <w:r>
        <w:rPr>
          <w:rFonts w:ascii="David" w:hAnsi="David" w:cs="David"/>
          <w:b/>
          <w:bCs/>
          <w:sz w:val="24"/>
          <w:szCs w:val="24"/>
          <w:rtl/>
        </w:rPr>
        <w:t>ע"א 8184/12 מרכז תורני לאומי נ' הרב קפלן </w:t>
      </w:r>
      <w:r>
        <w:rPr>
          <w:rFonts w:ascii="David" w:hAnsi="David" w:cs="David"/>
          <w:b/>
          <w:bCs/>
          <w:sz w:val="24"/>
          <w:szCs w:val="24"/>
        </w:rPr>
        <w:t>}</w:t>
      </w:r>
      <w:r>
        <w:rPr>
          <w:rFonts w:ascii="David" w:hAnsi="David" w:cs="David"/>
          <w:b/>
          <w:bCs/>
          <w:sz w:val="24"/>
          <w:szCs w:val="24"/>
          <w:rtl/>
        </w:rPr>
        <w:t>פמ"מ – 28/10/2015</w:t>
      </w:r>
      <w:r>
        <w:rPr>
          <w:rFonts w:ascii="David" w:hAnsi="David" w:cs="David"/>
          <w:sz w:val="24"/>
          <w:szCs w:val="24"/>
          <w:rtl/>
        </w:rPr>
        <w:t xml:space="preserve">}) קל וחומר הסכם ממון, שאושר על ידי בית המשפט, וקיבל תוקף של פסק דין. </w:t>
      </w:r>
    </w:p>
    <w:p w:rsidR="000D324B" w:rsidRDefault="000D324B" w:rsidP="00380A65">
      <w:pPr>
        <w:pStyle w:val="ad"/>
        <w:numPr>
          <w:ilvl w:val="0"/>
          <w:numId w:val="1"/>
        </w:numPr>
        <w:tabs>
          <w:tab w:val="left" w:pos="425"/>
        </w:tabs>
        <w:spacing w:after="0" w:line="360" w:lineRule="auto"/>
        <w:ind w:hanging="437"/>
        <w:jc w:val="both"/>
        <w:rPr>
          <w:rFonts w:ascii="David" w:hAnsi="David" w:cs="David"/>
          <w:sz w:val="24"/>
          <w:szCs w:val="24"/>
          <w:rtl/>
        </w:rPr>
      </w:pPr>
      <w:r>
        <w:rPr>
          <w:rFonts w:ascii="David" w:hAnsi="David" w:cs="David"/>
          <w:sz w:val="24"/>
          <w:szCs w:val="24"/>
          <w:rtl/>
        </w:rPr>
        <w:t xml:space="preserve">להסכם ממון ייחודיות נוספת שהיא עצם הדרישה לאשרו על ידי בית המשפט. מדובר במשוכה נוספת שקבע המחוקק, מעבר </w:t>
      </w:r>
      <w:r w:rsidR="00FA6970">
        <w:rPr>
          <w:rFonts w:ascii="David" w:hAnsi="David" w:cs="David" w:hint="cs"/>
          <w:sz w:val="24"/>
          <w:szCs w:val="24"/>
          <w:rtl/>
        </w:rPr>
        <w:t>למחויבות</w:t>
      </w:r>
      <w:r>
        <w:rPr>
          <w:rFonts w:ascii="David" w:hAnsi="David" w:cs="David"/>
          <w:sz w:val="24"/>
          <w:szCs w:val="24"/>
          <w:rtl/>
        </w:rPr>
        <w:t xml:space="preserve"> הצדדים החתומים על ההסכם, לקיימו, ולא בכדי. </w:t>
      </w:r>
      <w:r>
        <w:rPr>
          <w:rFonts w:ascii="David" w:hAnsi="David" w:cs="David"/>
          <w:b/>
          <w:bCs/>
          <w:color w:val="000000"/>
          <w:sz w:val="24"/>
          <w:szCs w:val="24"/>
          <w:rtl/>
        </w:rPr>
        <w:t xml:space="preserve">ראה לענין המעמד המיוחד שניתן להסכם ממון שבנוסף לדרישות צורניות </w:t>
      </w:r>
      <w:r>
        <w:rPr>
          <w:rFonts w:ascii="David" w:hAnsi="David" w:cs="David"/>
          <w:b/>
          <w:bCs/>
          <w:color w:val="000000"/>
          <w:sz w:val="24"/>
          <w:szCs w:val="24"/>
          <w:rtl/>
        </w:rPr>
        <w:lastRenderedPageBreak/>
        <w:t>לחתימתו נדרש גם אישורו:</w:t>
      </w:r>
      <w:r>
        <w:rPr>
          <w:rFonts w:ascii="David" w:hAnsi="David" w:cs="David"/>
          <w:color w:val="000000"/>
          <w:sz w:val="24"/>
          <w:szCs w:val="24"/>
          <w:rtl/>
        </w:rPr>
        <w:t xml:space="preserve"> ע"מ (ת"א) 1242/04 </w:t>
      </w:r>
      <w:r>
        <w:rPr>
          <w:rFonts w:ascii="David" w:hAnsi="David" w:cs="David"/>
          <w:b/>
          <w:bCs/>
          <w:color w:val="000000"/>
          <w:sz w:val="24"/>
          <w:szCs w:val="24"/>
          <w:rtl/>
        </w:rPr>
        <w:t>פלוני נ' פלונית</w:t>
      </w:r>
      <w:r>
        <w:rPr>
          <w:rFonts w:ascii="David" w:hAnsi="David" w:cs="David"/>
          <w:color w:val="000000"/>
          <w:sz w:val="24"/>
          <w:szCs w:val="24"/>
          <w:rtl/>
        </w:rPr>
        <w:t xml:space="preserve"> (23.05.05) (פורסם במאגר "נבו"), ע"א 4/80 </w:t>
      </w:r>
      <w:r>
        <w:rPr>
          <w:rFonts w:ascii="David" w:hAnsi="David" w:cs="David"/>
          <w:b/>
          <w:bCs/>
          <w:color w:val="000000"/>
          <w:sz w:val="24"/>
          <w:szCs w:val="24"/>
          <w:rtl/>
        </w:rPr>
        <w:t>מונק נ' מונק</w:t>
      </w:r>
      <w:r>
        <w:rPr>
          <w:rFonts w:ascii="David" w:hAnsi="David" w:cs="David"/>
          <w:color w:val="000000"/>
          <w:sz w:val="24"/>
          <w:szCs w:val="24"/>
          <w:rtl/>
        </w:rPr>
        <w:t xml:space="preserve"> פ"ד ל"ו(3)421</w:t>
      </w:r>
      <w:r>
        <w:rPr>
          <w:rFonts w:ascii="David" w:hAnsi="David" w:cs="David"/>
          <w:color w:val="000000"/>
          <w:sz w:val="24"/>
          <w:szCs w:val="24"/>
        </w:rPr>
        <w:t>.</w:t>
      </w:r>
    </w:p>
    <w:p w:rsidR="000D324B" w:rsidRDefault="000D324B" w:rsidP="00380A65">
      <w:pPr>
        <w:pStyle w:val="ad"/>
        <w:numPr>
          <w:ilvl w:val="0"/>
          <w:numId w:val="1"/>
        </w:numPr>
        <w:tabs>
          <w:tab w:val="left" w:pos="425"/>
        </w:tabs>
        <w:spacing w:after="0" w:line="360" w:lineRule="auto"/>
        <w:ind w:hanging="437"/>
        <w:jc w:val="both"/>
        <w:rPr>
          <w:rFonts w:ascii="David" w:hAnsi="David" w:cs="David"/>
          <w:sz w:val="24"/>
          <w:szCs w:val="24"/>
          <w:rtl/>
        </w:rPr>
      </w:pPr>
      <w:r>
        <w:rPr>
          <w:rFonts w:ascii="David" w:hAnsi="David" w:cs="David"/>
          <w:color w:val="000000"/>
          <w:sz w:val="24"/>
          <w:szCs w:val="24"/>
          <w:rtl/>
        </w:rPr>
        <w:t>ברע"א 359/85</w:t>
      </w:r>
      <w:r>
        <w:rPr>
          <w:rFonts w:ascii="David" w:hAnsi="David" w:cs="David"/>
          <w:b/>
          <w:bCs/>
          <w:color w:val="000000"/>
          <w:sz w:val="24"/>
          <w:szCs w:val="24"/>
          <w:rtl/>
        </w:rPr>
        <w:t xml:space="preserve"> קוק נ' קוק </w:t>
      </w:r>
      <w:r>
        <w:rPr>
          <w:rFonts w:ascii="David" w:hAnsi="David" w:cs="David"/>
          <w:color w:val="000000"/>
          <w:sz w:val="24"/>
          <w:szCs w:val="24"/>
          <w:rtl/>
        </w:rPr>
        <w:t>פ"ד ל"ט(3)421, שניתן ע"י כבוד השופטת בן פורת נקבע כך</w:t>
      </w:r>
      <w:r>
        <w:rPr>
          <w:rFonts w:ascii="David" w:hAnsi="David" w:cs="David"/>
          <w:color w:val="000000"/>
          <w:sz w:val="24"/>
          <w:szCs w:val="24"/>
        </w:rPr>
        <w:t>:</w:t>
      </w:r>
      <w:r>
        <w:rPr>
          <w:rFonts w:ascii="David" w:hAnsi="David" w:cs="David"/>
          <w:b/>
          <w:bCs/>
          <w:color w:val="000000"/>
          <w:sz w:val="24"/>
          <w:szCs w:val="24"/>
          <w:rtl/>
        </w:rPr>
        <w:t>"ספק בליבי, אם לאחר קבלת אישור להסכם ממון בין בני זוג, במעמד של שופט (בלי שערערו על פגם בהליך האישור) יכול בן זוג להישמע בטענה, שכרת את ההסכם בניגוד להצהרתו, מרצונו הטוב והחופשי. ואם נגרוס אחרת, תתרוקן לכאורה מתוכנה, הדרישה לאישור כזה, הבא לפי עצם טיבו וטבעו, להבטיח שבני הזוג יבינו היטב, את תוכן ההסכם ויסכימו לו מרצון</w:t>
      </w:r>
      <w:r>
        <w:rPr>
          <w:rFonts w:ascii="David" w:hAnsi="David" w:cs="David"/>
          <w:b/>
          <w:bCs/>
          <w:color w:val="000000"/>
          <w:sz w:val="24"/>
          <w:szCs w:val="24"/>
        </w:rPr>
        <w:t>".</w:t>
      </w:r>
    </w:p>
    <w:p w:rsidR="000D324B" w:rsidRDefault="000D324B" w:rsidP="00ED69B5">
      <w:pPr>
        <w:pStyle w:val="ad"/>
        <w:numPr>
          <w:ilvl w:val="0"/>
          <w:numId w:val="1"/>
        </w:numPr>
        <w:tabs>
          <w:tab w:val="left" w:pos="425"/>
        </w:tabs>
        <w:spacing w:line="360" w:lineRule="auto"/>
        <w:ind w:hanging="437"/>
        <w:jc w:val="both"/>
        <w:rPr>
          <w:rFonts w:ascii="David" w:hAnsi="David" w:cs="David"/>
          <w:sz w:val="24"/>
          <w:szCs w:val="24"/>
          <w:rtl/>
        </w:rPr>
      </w:pPr>
      <w:r>
        <w:rPr>
          <w:rFonts w:ascii="David" w:hAnsi="David" w:cs="David"/>
          <w:sz w:val="24"/>
          <w:szCs w:val="24"/>
          <w:rtl/>
        </w:rPr>
        <w:t xml:space="preserve">במקרה דנן בית משפט זה סבור כי עבודתה של חברתי, כבוד השופטת גרינוולד, אשר אישרה כאמור את הסכם הממון, ראויה לשבח. בית המשפט לא חסך מזמנו, בית המשפט לא אישר את ההסכם כלאחר יד, בית המשפט קרא והקריא תוך שהוכיח </w:t>
      </w:r>
      <w:r w:rsidR="00FA6970">
        <w:rPr>
          <w:rFonts w:ascii="David" w:hAnsi="David" w:cs="David" w:hint="cs"/>
          <w:sz w:val="24"/>
          <w:szCs w:val="24"/>
          <w:rtl/>
        </w:rPr>
        <w:t>ערנות</w:t>
      </w:r>
      <w:r>
        <w:rPr>
          <w:rFonts w:ascii="David" w:hAnsi="David" w:cs="David"/>
          <w:sz w:val="24"/>
          <w:szCs w:val="24"/>
          <w:rtl/>
        </w:rPr>
        <w:t xml:space="preserve"> לכל סעיף וסעיף בהסכם, בית המשפט</w:t>
      </w:r>
      <w:r w:rsidR="00ED69B5">
        <w:rPr>
          <w:rFonts w:ascii="David" w:hAnsi="David" w:cs="David"/>
          <w:sz w:val="24"/>
          <w:szCs w:val="24"/>
          <w:rtl/>
        </w:rPr>
        <w:t xml:space="preserve"> נתן תשומת לב וגילה רגישות רבה,</w:t>
      </w:r>
      <w:r w:rsidR="00ED69B5">
        <w:rPr>
          <w:rFonts w:ascii="David" w:hAnsi="David" w:cs="David" w:hint="cs"/>
          <w:sz w:val="24"/>
          <w:szCs w:val="24"/>
          <w:rtl/>
        </w:rPr>
        <w:t xml:space="preserve"> להליך, לצדדים, ובמיוחד לתובעת.</w:t>
      </w:r>
    </w:p>
    <w:p w:rsidR="000D324B" w:rsidRDefault="000D324B" w:rsidP="00380A65">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ואם לא די בכל אלה, התובעת העידה מרצונה, בדיון אישור ההסכם, ואף מבלי שנשאלה "</w:t>
      </w:r>
      <w:r>
        <w:rPr>
          <w:rFonts w:ascii="David" w:hAnsi="David" w:cs="David"/>
          <w:b/>
          <w:bCs/>
          <w:sz w:val="24"/>
          <w:szCs w:val="24"/>
          <w:rtl/>
        </w:rPr>
        <w:t>אני לא אבוא לבית המשפט ואבקש לבטל את ההסכם</w:t>
      </w:r>
      <w:r>
        <w:rPr>
          <w:rFonts w:ascii="David" w:hAnsi="David" w:cs="David"/>
          <w:sz w:val="24"/>
          <w:szCs w:val="24"/>
          <w:rtl/>
        </w:rPr>
        <w:t>". במצב דברים זה נראה כי אין עוד מה להוסיף, הכל נעשה ונעשה על הצד הטוב ביותר.</w:t>
      </w:r>
    </w:p>
    <w:p w:rsidR="000D324B" w:rsidRDefault="000D324B" w:rsidP="00380A65">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לו בית משפט זה יקבל את תביעת האשה לביטול ההסכם, בנסיבות המיוחדות של מקרה זו, בו לא יכולה להיות מחלוקת כי בית המשפט עשה עבודתו נאמנה, ניתן לבטל את הדרישה הקיימת בחוק לאישור הסכמי ממון, או לייתר את עבודתם של השופטים באישורי הסכם.</w:t>
      </w:r>
    </w:p>
    <w:p w:rsidR="000D324B" w:rsidRDefault="000D324B" w:rsidP="00380A65">
      <w:pPr>
        <w:tabs>
          <w:tab w:val="left" w:pos="425"/>
        </w:tabs>
        <w:spacing w:line="360" w:lineRule="auto"/>
        <w:ind w:left="425" w:hanging="142"/>
        <w:jc w:val="both"/>
        <w:rPr>
          <w:rFonts w:ascii="David" w:hAnsi="David"/>
          <w:b/>
          <w:bCs/>
          <w:sz w:val="26"/>
          <w:szCs w:val="26"/>
          <w:u w:val="single"/>
          <w:rtl/>
        </w:rPr>
      </w:pPr>
      <w:r>
        <w:rPr>
          <w:rFonts w:ascii="David" w:hAnsi="David"/>
          <w:b/>
          <w:bCs/>
          <w:sz w:val="26"/>
          <w:szCs w:val="26"/>
          <w:u w:val="single"/>
          <w:rtl/>
        </w:rPr>
        <w:t>הבנת התובעת את ההסכם</w:t>
      </w:r>
    </w:p>
    <w:p w:rsidR="000D324B" w:rsidRDefault="000D324B" w:rsidP="00380A65">
      <w:pPr>
        <w:pStyle w:val="ad"/>
        <w:numPr>
          <w:ilvl w:val="0"/>
          <w:numId w:val="1"/>
        </w:numPr>
        <w:tabs>
          <w:tab w:val="left" w:pos="425"/>
        </w:tabs>
        <w:spacing w:line="360" w:lineRule="auto"/>
        <w:ind w:hanging="437"/>
        <w:jc w:val="both"/>
        <w:rPr>
          <w:rFonts w:ascii="David" w:hAnsi="David" w:cs="David"/>
          <w:sz w:val="24"/>
          <w:szCs w:val="24"/>
          <w:rtl/>
        </w:rPr>
      </w:pPr>
      <w:r>
        <w:rPr>
          <w:rFonts w:ascii="David" w:hAnsi="David" w:cs="David"/>
          <w:sz w:val="24"/>
          <w:szCs w:val="24"/>
          <w:rtl/>
        </w:rPr>
        <w:t>לטענת התובעת היא מעולם לא הבינה את משמעות המסמך עליו חתמה, הן משום שמשמעותו לא הוסברה לה, הן משום שלא היתה מיוצגת בהליך, הן משום שהוצגה לה משמעות אחרת של ההסכם ו/או משום שסמכה על הנתבע והאמינה בו. אין באף אחת מטענות אלה בכדי להצדיק ביטולו של הסכם הממון. ועתה אסביר:</w:t>
      </w:r>
    </w:p>
    <w:p w:rsidR="000D324B" w:rsidRDefault="000D324B" w:rsidP="00380A65">
      <w:pPr>
        <w:pStyle w:val="ad"/>
        <w:numPr>
          <w:ilvl w:val="0"/>
          <w:numId w:val="1"/>
        </w:numPr>
        <w:tabs>
          <w:tab w:val="left" w:pos="425"/>
        </w:tabs>
        <w:spacing w:line="360" w:lineRule="auto"/>
        <w:ind w:hanging="437"/>
        <w:jc w:val="both"/>
        <w:rPr>
          <w:rFonts w:ascii="David" w:hAnsi="David" w:cs="David"/>
          <w:b/>
          <w:bCs/>
          <w:sz w:val="24"/>
          <w:szCs w:val="24"/>
          <w:u w:val="single"/>
        </w:rPr>
      </w:pPr>
      <w:r>
        <w:rPr>
          <w:rFonts w:ascii="David" w:hAnsi="David" w:cs="David"/>
          <w:b/>
          <w:bCs/>
          <w:sz w:val="24"/>
          <w:szCs w:val="24"/>
          <w:u w:val="single"/>
          <w:rtl/>
        </w:rPr>
        <w:t>התובעת לא הוכיחה כי היתה במצב גופני או במצב נפשי או במצב רגשי  כזה, שאינו איפשר לה להבין את המסמך עליו חתמה:</w:t>
      </w:r>
    </w:p>
    <w:p w:rsidR="000D324B" w:rsidRPr="00FD282C" w:rsidRDefault="000D324B" w:rsidP="00FD282C">
      <w:pPr>
        <w:pStyle w:val="ad"/>
        <w:numPr>
          <w:ilvl w:val="0"/>
          <w:numId w:val="2"/>
        </w:numPr>
        <w:tabs>
          <w:tab w:val="left" w:pos="425"/>
        </w:tabs>
        <w:spacing w:line="360" w:lineRule="auto"/>
        <w:ind w:left="1275" w:hanging="425"/>
        <w:jc w:val="both"/>
        <w:rPr>
          <w:rFonts w:ascii="David" w:hAnsi="David" w:cs="David"/>
          <w:sz w:val="24"/>
          <w:szCs w:val="24"/>
        </w:rPr>
      </w:pPr>
      <w:r>
        <w:rPr>
          <w:rFonts w:ascii="David" w:hAnsi="David" w:cs="David"/>
          <w:sz w:val="24"/>
          <w:szCs w:val="24"/>
          <w:rtl/>
        </w:rPr>
        <w:t>התובעת העידה כי אין בידה כל מסמך רפואי ממנו ניתן ללמוד על מצב רפואי בעייתי</w:t>
      </w:r>
      <w:r w:rsidR="00FD282C">
        <w:rPr>
          <w:rFonts w:ascii="David" w:hAnsi="David" w:cs="David" w:hint="cs"/>
          <w:sz w:val="24"/>
          <w:szCs w:val="24"/>
          <w:rtl/>
        </w:rPr>
        <w:t xml:space="preserve">. </w:t>
      </w:r>
      <w:r w:rsidR="00FD282C">
        <w:rPr>
          <w:rFonts w:ascii="David" w:hAnsi="David" w:cs="David"/>
          <w:sz w:val="24"/>
          <w:szCs w:val="24"/>
          <w:rtl/>
        </w:rPr>
        <w:t xml:space="preserve">התובעת </w:t>
      </w:r>
      <w:r w:rsidR="00FD282C">
        <w:rPr>
          <w:rFonts w:ascii="David" w:hAnsi="David" w:cs="David" w:hint="cs"/>
          <w:sz w:val="24"/>
          <w:szCs w:val="24"/>
          <w:rtl/>
        </w:rPr>
        <w:t xml:space="preserve">גם </w:t>
      </w:r>
      <w:r w:rsidR="00FD282C">
        <w:rPr>
          <w:rFonts w:ascii="David" w:hAnsi="David" w:cs="David"/>
          <w:sz w:val="24"/>
          <w:szCs w:val="24"/>
          <w:rtl/>
        </w:rPr>
        <w:t>העידה כי מחשבתה היתה צלולה ולא היו לה בעיות בריאות כלשהן לרבות שלא סבלה מבעיות בראש</w:t>
      </w:r>
      <w:r w:rsidR="00FD282C">
        <w:rPr>
          <w:rFonts w:ascii="David" w:hAnsi="David" w:cs="David" w:hint="cs"/>
          <w:sz w:val="24"/>
          <w:szCs w:val="24"/>
          <w:rtl/>
        </w:rPr>
        <w:t xml:space="preserve"> (</w:t>
      </w:r>
      <w:r w:rsidR="00AC60C4">
        <w:rPr>
          <w:rFonts w:ascii="David" w:hAnsi="David" w:cs="David" w:hint="cs"/>
          <w:sz w:val="24"/>
          <w:szCs w:val="24"/>
          <w:rtl/>
        </w:rPr>
        <w:t>ראו:</w:t>
      </w:r>
      <w:r w:rsidR="00ED69B5">
        <w:rPr>
          <w:rFonts w:ascii="David" w:hAnsi="David" w:cs="David" w:hint="cs"/>
          <w:b/>
          <w:bCs/>
          <w:sz w:val="24"/>
          <w:szCs w:val="24"/>
          <w:rtl/>
        </w:rPr>
        <w:t xml:space="preserve"> </w:t>
      </w:r>
      <w:r w:rsidR="00217A71" w:rsidRPr="001E0604">
        <w:rPr>
          <w:rFonts w:ascii="David" w:hAnsi="David" w:cs="David" w:hint="cs"/>
          <w:b/>
          <w:bCs/>
          <w:sz w:val="24"/>
          <w:szCs w:val="24"/>
          <w:rtl/>
        </w:rPr>
        <w:t xml:space="preserve">פרוטוקול דיון מיום </w:t>
      </w:r>
      <w:r w:rsidR="00864795" w:rsidRPr="001E0604">
        <w:rPr>
          <w:rFonts w:ascii="David" w:hAnsi="David" w:cs="David" w:hint="cs"/>
          <w:b/>
          <w:bCs/>
          <w:sz w:val="24"/>
          <w:szCs w:val="24"/>
          <w:rtl/>
        </w:rPr>
        <w:t>1</w:t>
      </w:r>
      <w:r w:rsidR="00217A71" w:rsidRPr="001E0604">
        <w:rPr>
          <w:rFonts w:ascii="David" w:hAnsi="David" w:cs="David" w:hint="cs"/>
          <w:b/>
          <w:bCs/>
          <w:sz w:val="24"/>
          <w:szCs w:val="24"/>
          <w:rtl/>
        </w:rPr>
        <w:t xml:space="preserve">.2.2024 עמוד </w:t>
      </w:r>
      <w:r w:rsidR="00FD282C" w:rsidRPr="001E0604">
        <w:rPr>
          <w:rFonts w:ascii="David" w:hAnsi="David" w:cs="David" w:hint="cs"/>
          <w:b/>
          <w:bCs/>
          <w:sz w:val="24"/>
          <w:szCs w:val="24"/>
          <w:rtl/>
        </w:rPr>
        <w:t>28 שורות 5-14</w:t>
      </w:r>
      <w:r w:rsidR="00FD282C" w:rsidRPr="00FD282C">
        <w:rPr>
          <w:rFonts w:ascii="David" w:hAnsi="David" w:cs="David" w:hint="cs"/>
          <w:sz w:val="24"/>
          <w:szCs w:val="24"/>
          <w:rtl/>
        </w:rPr>
        <w:t>).</w:t>
      </w:r>
    </w:p>
    <w:p w:rsidR="000D324B" w:rsidRPr="009962D2" w:rsidRDefault="000D324B" w:rsidP="002B142B">
      <w:pPr>
        <w:pStyle w:val="ad"/>
        <w:numPr>
          <w:ilvl w:val="0"/>
          <w:numId w:val="2"/>
        </w:numPr>
        <w:tabs>
          <w:tab w:val="left" w:pos="425"/>
        </w:tabs>
        <w:spacing w:line="360" w:lineRule="auto"/>
        <w:ind w:left="1275" w:hanging="425"/>
        <w:jc w:val="both"/>
        <w:rPr>
          <w:rFonts w:ascii="David" w:hAnsi="David" w:cs="David"/>
          <w:sz w:val="24"/>
          <w:szCs w:val="24"/>
        </w:rPr>
      </w:pPr>
      <w:r>
        <w:rPr>
          <w:rFonts w:ascii="David" w:hAnsi="David" w:cs="David"/>
          <w:sz w:val="24"/>
          <w:szCs w:val="24"/>
          <w:rtl/>
        </w:rPr>
        <w:t xml:space="preserve">בכתבי הטענות טענה התובעת כי בעת החתימה על ההסכם היו לה "שינויים בגוף", ואלה השפיעו עליה, אולם בעדות טענה כי </w:t>
      </w:r>
      <w:r w:rsidRPr="009962D2">
        <w:rPr>
          <w:rFonts w:ascii="David" w:hAnsi="David" w:cs="David"/>
          <w:sz w:val="24"/>
          <w:szCs w:val="24"/>
          <w:rtl/>
        </w:rPr>
        <w:t>זה לא השפיע על החתימה של</w:t>
      </w:r>
      <w:r w:rsidR="009962D2" w:rsidRPr="009962D2">
        <w:rPr>
          <w:rFonts w:ascii="David" w:hAnsi="David" w:cs="David" w:hint="cs"/>
          <w:sz w:val="24"/>
          <w:szCs w:val="24"/>
          <w:rtl/>
        </w:rPr>
        <w:t xml:space="preserve">ה ולא גרם לה לאשפוז בבית חולים </w:t>
      </w:r>
      <w:r w:rsidR="009962D2" w:rsidRPr="00AC60C4">
        <w:rPr>
          <w:rFonts w:ascii="David" w:hAnsi="David" w:cs="David" w:hint="cs"/>
          <w:sz w:val="24"/>
          <w:szCs w:val="24"/>
          <w:rtl/>
        </w:rPr>
        <w:t>(</w:t>
      </w:r>
      <w:r w:rsidR="00AC60C4" w:rsidRPr="00AC60C4">
        <w:rPr>
          <w:rFonts w:ascii="David" w:hAnsi="David" w:cs="David" w:hint="cs"/>
          <w:sz w:val="24"/>
          <w:szCs w:val="24"/>
          <w:rtl/>
        </w:rPr>
        <w:t>ראו:</w:t>
      </w:r>
      <w:r w:rsidR="00AC60C4">
        <w:rPr>
          <w:rFonts w:ascii="David" w:hAnsi="David" w:cs="David" w:hint="cs"/>
          <w:b/>
          <w:bCs/>
          <w:sz w:val="24"/>
          <w:szCs w:val="24"/>
          <w:rtl/>
        </w:rPr>
        <w:t xml:space="preserve"> </w:t>
      </w:r>
      <w:r w:rsidR="009962D2" w:rsidRPr="001E0604">
        <w:rPr>
          <w:rFonts w:ascii="David" w:hAnsi="David" w:cs="David" w:hint="cs"/>
          <w:b/>
          <w:bCs/>
          <w:sz w:val="24"/>
          <w:szCs w:val="24"/>
          <w:rtl/>
        </w:rPr>
        <w:t>פרוטוקול דיון מיום 1.2.2024 עמוד 30 שורות 7-13)</w:t>
      </w:r>
      <w:r w:rsidR="002B142B">
        <w:rPr>
          <w:rFonts w:ascii="David" w:hAnsi="David" w:cs="David" w:hint="cs"/>
          <w:b/>
          <w:bCs/>
          <w:sz w:val="24"/>
          <w:szCs w:val="24"/>
          <w:rtl/>
        </w:rPr>
        <w:t xml:space="preserve"> וכי ההריון לא זה שהשפיע עליה כי "על החתימה שלי על הסכם השפיעו דברים אחרים" </w:t>
      </w:r>
      <w:r w:rsidR="002B142B" w:rsidRPr="001E0604">
        <w:rPr>
          <w:rFonts w:ascii="David" w:hAnsi="David" w:cs="David" w:hint="cs"/>
          <w:b/>
          <w:bCs/>
          <w:sz w:val="24"/>
          <w:szCs w:val="24"/>
          <w:rtl/>
        </w:rPr>
        <w:t>(</w:t>
      </w:r>
      <w:r w:rsidR="00AC60C4">
        <w:rPr>
          <w:rFonts w:ascii="David" w:hAnsi="David" w:cs="David" w:hint="cs"/>
          <w:sz w:val="24"/>
          <w:szCs w:val="24"/>
          <w:rtl/>
        </w:rPr>
        <w:t xml:space="preserve">ראו: </w:t>
      </w:r>
      <w:r w:rsidR="002B142B" w:rsidRPr="001E0604">
        <w:rPr>
          <w:rFonts w:ascii="David" w:hAnsi="David" w:cs="David" w:hint="cs"/>
          <w:b/>
          <w:bCs/>
          <w:sz w:val="24"/>
          <w:szCs w:val="24"/>
          <w:rtl/>
        </w:rPr>
        <w:t xml:space="preserve">פרוטוקול דיון מיום 1.2.2024 עמוד 30 שורות </w:t>
      </w:r>
      <w:r w:rsidR="002B142B">
        <w:rPr>
          <w:rFonts w:ascii="David" w:hAnsi="David" w:cs="David" w:hint="cs"/>
          <w:b/>
          <w:bCs/>
          <w:sz w:val="24"/>
          <w:szCs w:val="24"/>
          <w:rtl/>
        </w:rPr>
        <w:t>19-21</w:t>
      </w:r>
      <w:r w:rsidR="002B142B" w:rsidRPr="00AC60C4">
        <w:rPr>
          <w:rFonts w:ascii="David" w:hAnsi="David" w:cs="David" w:hint="cs"/>
          <w:sz w:val="24"/>
          <w:szCs w:val="24"/>
          <w:rtl/>
        </w:rPr>
        <w:t>).</w:t>
      </w:r>
    </w:p>
    <w:p w:rsidR="000D324B" w:rsidRDefault="000D324B" w:rsidP="00864795">
      <w:pPr>
        <w:pStyle w:val="ad"/>
        <w:numPr>
          <w:ilvl w:val="0"/>
          <w:numId w:val="2"/>
        </w:numPr>
        <w:tabs>
          <w:tab w:val="left" w:pos="425"/>
        </w:tabs>
        <w:spacing w:line="360" w:lineRule="auto"/>
        <w:ind w:left="1275" w:hanging="425"/>
        <w:jc w:val="both"/>
        <w:rPr>
          <w:rFonts w:ascii="David" w:hAnsi="David" w:cs="David"/>
          <w:sz w:val="24"/>
          <w:szCs w:val="24"/>
          <w:rtl/>
        </w:rPr>
      </w:pPr>
      <w:r>
        <w:rPr>
          <w:rFonts w:ascii="David" w:hAnsi="David" w:cs="David"/>
          <w:sz w:val="24"/>
          <w:szCs w:val="24"/>
          <w:rtl/>
        </w:rPr>
        <w:lastRenderedPageBreak/>
        <w:t>התובעת העידה כי בעת חתימתה על ההסכם היתה לה משפחה תומכת בישראל</w:t>
      </w:r>
      <w:r w:rsidR="00864795">
        <w:rPr>
          <w:rFonts w:ascii="David" w:hAnsi="David" w:cs="David" w:hint="cs"/>
          <w:sz w:val="24"/>
          <w:szCs w:val="24"/>
          <w:rtl/>
        </w:rPr>
        <w:t xml:space="preserve">  </w:t>
      </w:r>
      <w:r w:rsidR="00864795" w:rsidRPr="00AC60C4">
        <w:rPr>
          <w:rFonts w:ascii="David" w:hAnsi="David" w:cs="David" w:hint="cs"/>
          <w:sz w:val="24"/>
          <w:szCs w:val="24"/>
          <w:rtl/>
        </w:rPr>
        <w:t>(</w:t>
      </w:r>
      <w:r w:rsidR="00AC60C4" w:rsidRPr="00AC60C4">
        <w:rPr>
          <w:rFonts w:ascii="David" w:hAnsi="David" w:cs="David" w:hint="cs"/>
          <w:sz w:val="24"/>
          <w:szCs w:val="24"/>
          <w:rtl/>
        </w:rPr>
        <w:t>ראו:</w:t>
      </w:r>
      <w:r w:rsidR="00AC60C4">
        <w:rPr>
          <w:rFonts w:ascii="David" w:hAnsi="David" w:cs="David" w:hint="cs"/>
          <w:b/>
          <w:bCs/>
          <w:sz w:val="24"/>
          <w:szCs w:val="24"/>
          <w:rtl/>
        </w:rPr>
        <w:t xml:space="preserve"> </w:t>
      </w:r>
      <w:r w:rsidR="00864795" w:rsidRPr="001E0604">
        <w:rPr>
          <w:rFonts w:ascii="David" w:hAnsi="David" w:cs="David" w:hint="cs"/>
          <w:b/>
          <w:bCs/>
          <w:sz w:val="24"/>
          <w:szCs w:val="24"/>
          <w:rtl/>
        </w:rPr>
        <w:t>פרוטוקול דיון מיום 1.2.2024 עמוד 25 שורות  24-32 ועמוד 26 שורות 1-4</w:t>
      </w:r>
      <w:r w:rsidR="00864795" w:rsidRPr="00AC60C4">
        <w:rPr>
          <w:rFonts w:ascii="David" w:hAnsi="David" w:cs="David" w:hint="cs"/>
          <w:sz w:val="24"/>
          <w:szCs w:val="24"/>
          <w:rtl/>
        </w:rPr>
        <w:t>)</w:t>
      </w:r>
      <w:r w:rsidRPr="00AC60C4">
        <w:rPr>
          <w:rFonts w:ascii="David" w:hAnsi="David" w:cs="David"/>
          <w:sz w:val="24"/>
          <w:szCs w:val="24"/>
          <w:rtl/>
        </w:rPr>
        <w:t>.</w:t>
      </w:r>
    </w:p>
    <w:p w:rsidR="000D324B" w:rsidRPr="001E0604" w:rsidRDefault="000D324B" w:rsidP="00E01101">
      <w:pPr>
        <w:pStyle w:val="ad"/>
        <w:numPr>
          <w:ilvl w:val="0"/>
          <w:numId w:val="2"/>
        </w:numPr>
        <w:tabs>
          <w:tab w:val="left" w:pos="425"/>
        </w:tabs>
        <w:spacing w:line="360" w:lineRule="auto"/>
        <w:ind w:left="1275" w:hanging="425"/>
        <w:jc w:val="both"/>
        <w:rPr>
          <w:rFonts w:ascii="David" w:hAnsi="David" w:cs="David"/>
          <w:b/>
          <w:bCs/>
          <w:sz w:val="24"/>
          <w:szCs w:val="24"/>
          <w:rtl/>
        </w:rPr>
      </w:pPr>
      <w:r>
        <w:rPr>
          <w:rFonts w:ascii="David" w:hAnsi="David" w:cs="David"/>
          <w:sz w:val="24"/>
          <w:szCs w:val="24"/>
          <w:rtl/>
        </w:rPr>
        <w:t>התובעת העידה כי לא פנתה לאף גורם בדבר אלימות של הנתבע כנגדה, ואין כל תלונה במשטרה, אין פניה לעו"ס או לרווחה ו/או כל תיעוד רשמי אחר בענין זה</w:t>
      </w:r>
      <w:r w:rsidR="00E01101">
        <w:rPr>
          <w:rFonts w:ascii="David" w:hAnsi="David" w:cs="David" w:hint="cs"/>
          <w:sz w:val="24"/>
          <w:szCs w:val="24"/>
          <w:rtl/>
        </w:rPr>
        <w:t xml:space="preserve"> </w:t>
      </w:r>
      <w:r w:rsidR="00E01101" w:rsidRPr="001E0604">
        <w:rPr>
          <w:rFonts w:ascii="David" w:hAnsi="David" w:cs="David" w:hint="cs"/>
          <w:b/>
          <w:bCs/>
          <w:sz w:val="24"/>
          <w:szCs w:val="24"/>
          <w:rtl/>
        </w:rPr>
        <w:t>(</w:t>
      </w:r>
      <w:r w:rsidR="00694CAA">
        <w:rPr>
          <w:rFonts w:ascii="David" w:hAnsi="David" w:cs="David" w:hint="cs"/>
          <w:sz w:val="24"/>
          <w:szCs w:val="24"/>
          <w:rtl/>
        </w:rPr>
        <w:t xml:space="preserve">ראו: </w:t>
      </w:r>
      <w:r w:rsidR="00E01101" w:rsidRPr="001E0604">
        <w:rPr>
          <w:rFonts w:ascii="David" w:hAnsi="David" w:cs="David" w:hint="cs"/>
          <w:b/>
          <w:bCs/>
          <w:sz w:val="24"/>
          <w:szCs w:val="24"/>
          <w:rtl/>
        </w:rPr>
        <w:t>פרוטוקול דיון מיום 1.2.2024 עמוד 34 שורות 18-35 ועמוד 35 שורות 1-9)</w:t>
      </w:r>
      <w:r w:rsidR="00E01101" w:rsidRPr="001E0604">
        <w:rPr>
          <w:rFonts w:ascii="David" w:hAnsi="David" w:cs="David"/>
          <w:b/>
          <w:bCs/>
          <w:sz w:val="24"/>
          <w:szCs w:val="24"/>
          <w:rtl/>
        </w:rPr>
        <w:t>.</w:t>
      </w:r>
    </w:p>
    <w:p w:rsidR="000D324B" w:rsidRDefault="000D324B" w:rsidP="00380A65">
      <w:pPr>
        <w:pStyle w:val="ad"/>
        <w:numPr>
          <w:ilvl w:val="0"/>
          <w:numId w:val="2"/>
        </w:numPr>
        <w:tabs>
          <w:tab w:val="left" w:pos="425"/>
        </w:tabs>
        <w:spacing w:line="360" w:lineRule="auto"/>
        <w:ind w:left="1275" w:hanging="425"/>
        <w:jc w:val="both"/>
        <w:rPr>
          <w:rFonts w:ascii="David" w:hAnsi="David" w:cs="David"/>
          <w:sz w:val="24"/>
          <w:szCs w:val="24"/>
        </w:rPr>
      </w:pPr>
      <w:r>
        <w:rPr>
          <w:rFonts w:ascii="David" w:hAnsi="David" w:cs="David"/>
          <w:sz w:val="24"/>
          <w:szCs w:val="24"/>
          <w:rtl/>
        </w:rPr>
        <w:t>התובעת אומנם טענה כי התביישה, כי לא היה לה נעים לספר, כי הסתירה, את האלימות אותה חוותה, ואולי אף לא הבינה באיזה מצב היא חיה, אולם אין בידה כל ראיה התומכת בטענה זו, כאשר הנתבע מנגד מכחיש את כל הטענות לגבי אלימות.</w:t>
      </w:r>
    </w:p>
    <w:p w:rsidR="000D324B" w:rsidRPr="005551B2" w:rsidRDefault="000D324B" w:rsidP="00E01101">
      <w:pPr>
        <w:pStyle w:val="ad"/>
        <w:numPr>
          <w:ilvl w:val="0"/>
          <w:numId w:val="2"/>
        </w:numPr>
        <w:tabs>
          <w:tab w:val="left" w:pos="425"/>
        </w:tabs>
        <w:spacing w:line="360" w:lineRule="auto"/>
        <w:ind w:left="1275" w:hanging="425"/>
        <w:jc w:val="both"/>
        <w:rPr>
          <w:rFonts w:ascii="David" w:hAnsi="David" w:cs="David"/>
          <w:sz w:val="24"/>
          <w:szCs w:val="24"/>
        </w:rPr>
      </w:pPr>
      <w:r>
        <w:rPr>
          <w:rFonts w:ascii="David" w:hAnsi="David" w:cs="David"/>
          <w:sz w:val="24"/>
          <w:szCs w:val="24"/>
          <w:rtl/>
        </w:rPr>
        <w:t xml:space="preserve">התובעת אף הגדילה וטענה כי מספר שבועות לפני אישור ההסכם חוותה אלימות קשה, אשר בהחלט היתה לה השפעה על חתימתה על ההסכם. מאידך, העידה כי סמכה על הנתבע והאמינה בו. בענין זה נשאלת השאלה, לה לא ניתן מענה על ידי התובעת  – </w:t>
      </w:r>
      <w:r w:rsidRPr="005551B2">
        <w:rPr>
          <w:rFonts w:ascii="David" w:hAnsi="David" w:cs="David"/>
          <w:sz w:val="24"/>
          <w:szCs w:val="24"/>
          <w:rtl/>
        </w:rPr>
        <w:t>כיצד יכולה היתה לסמוך ולהאמין לאיש שנהג ככה כלפיה, לטענתה, ואף זמן קצר לפני אישור ההסכם.</w:t>
      </w:r>
    </w:p>
    <w:p w:rsidR="000D324B" w:rsidRDefault="000D324B" w:rsidP="00380A65">
      <w:pPr>
        <w:pStyle w:val="ad"/>
        <w:numPr>
          <w:ilvl w:val="0"/>
          <w:numId w:val="2"/>
        </w:numPr>
        <w:tabs>
          <w:tab w:val="left" w:pos="425"/>
        </w:tabs>
        <w:spacing w:line="360" w:lineRule="auto"/>
        <w:ind w:left="1275" w:hanging="425"/>
        <w:jc w:val="both"/>
        <w:rPr>
          <w:rFonts w:ascii="David" w:hAnsi="David" w:cs="David"/>
          <w:sz w:val="24"/>
          <w:szCs w:val="24"/>
        </w:rPr>
      </w:pPr>
      <w:r>
        <w:rPr>
          <w:rFonts w:ascii="David" w:hAnsi="David" w:cs="David"/>
          <w:sz w:val="24"/>
          <w:szCs w:val="24"/>
          <w:rtl/>
        </w:rPr>
        <w:t>בית המשפט לא מתעלם מהודעות הווטצאפ שצירפה התובעת לתצהירה, על מנת לתמוך בטענה לשפה אלימה ומשפילה של הנתבע כלפיה. יתר על כן בית המשפט סבור כי התבטאויות הנתבע בעייתיות (בלשון המעטה), לא מקובלות, ובהחלט חוסות תחת ההגדרה של אלימות מילולית. בית המשפט גם סבור שניסיונו של הנתבע להקטין את הבעייתיות שבהתבטאויות אלה, בעייתית בפני עצמה. יחד עם זאת, מדובר בהודעות משנת 2022 ולא מהזמן שסמוך לחתימת הצדדים על הסכם הממון. אין בהודעות אלה בכדי להוכיח לבית המשפט מה נהג בין הצדדים כ- 10 שנים קודם לכן, והאם מדובר בהתנהגות שאפיינה את מערכת היחסים במשך שנים רבות או לאו. בוודאי אין בכך בכדי להעיד כי התנהגות זו של הנתבע היא זו שגרמה לתובעת לחתום על הסכם הממון.</w:t>
      </w:r>
    </w:p>
    <w:p w:rsidR="000D324B" w:rsidRDefault="000D324B" w:rsidP="006172AD">
      <w:pPr>
        <w:pStyle w:val="ad"/>
        <w:tabs>
          <w:tab w:val="left" w:pos="425"/>
        </w:tabs>
        <w:spacing w:line="240" w:lineRule="auto"/>
        <w:ind w:left="0" w:firstLine="283"/>
        <w:jc w:val="both"/>
        <w:rPr>
          <w:rFonts w:ascii="David" w:hAnsi="David" w:cs="David"/>
          <w:sz w:val="24"/>
          <w:szCs w:val="24"/>
        </w:rPr>
      </w:pPr>
    </w:p>
    <w:p w:rsidR="000D324B" w:rsidRDefault="000D324B" w:rsidP="000D324B">
      <w:pPr>
        <w:pStyle w:val="ad"/>
        <w:numPr>
          <w:ilvl w:val="0"/>
          <w:numId w:val="1"/>
        </w:numPr>
        <w:tabs>
          <w:tab w:val="left" w:pos="425"/>
        </w:tabs>
        <w:spacing w:line="360" w:lineRule="auto"/>
        <w:ind w:left="0" w:firstLine="283"/>
        <w:jc w:val="both"/>
        <w:rPr>
          <w:rFonts w:ascii="David" w:hAnsi="David" w:cs="David"/>
          <w:b/>
          <w:bCs/>
          <w:sz w:val="24"/>
          <w:szCs w:val="24"/>
          <w:u w:val="single"/>
          <w:rtl/>
        </w:rPr>
      </w:pPr>
      <w:r>
        <w:rPr>
          <w:rFonts w:ascii="David" w:hAnsi="David" w:cs="David"/>
          <w:b/>
          <w:bCs/>
          <w:sz w:val="24"/>
          <w:szCs w:val="24"/>
          <w:u w:val="single"/>
          <w:rtl/>
        </w:rPr>
        <w:t>התובעת לא הוכיחה כי לא הבינה את המסמך עליו חתמ</w:t>
      </w:r>
      <w:r w:rsidR="00380A65">
        <w:rPr>
          <w:rFonts w:ascii="David" w:hAnsi="David" w:cs="David"/>
          <w:b/>
          <w:bCs/>
          <w:sz w:val="24"/>
          <w:szCs w:val="24"/>
          <w:u w:val="single"/>
          <w:rtl/>
        </w:rPr>
        <w:t>ה בשל בעיות בהבנת השפה העברית</w:t>
      </w:r>
    </w:p>
    <w:p w:rsidR="00380A65" w:rsidRPr="001E0604" w:rsidRDefault="000D324B" w:rsidP="00FD282C">
      <w:pPr>
        <w:pStyle w:val="ad"/>
        <w:numPr>
          <w:ilvl w:val="0"/>
          <w:numId w:val="11"/>
        </w:numPr>
        <w:tabs>
          <w:tab w:val="left" w:pos="425"/>
        </w:tabs>
        <w:spacing w:line="360" w:lineRule="auto"/>
        <w:jc w:val="both"/>
        <w:rPr>
          <w:rFonts w:ascii="David" w:hAnsi="David" w:cs="David"/>
          <w:b/>
          <w:bCs/>
          <w:sz w:val="24"/>
          <w:szCs w:val="24"/>
        </w:rPr>
      </w:pPr>
      <w:r>
        <w:rPr>
          <w:rFonts w:ascii="David" w:hAnsi="David" w:cs="David"/>
          <w:sz w:val="24"/>
          <w:szCs w:val="24"/>
          <w:rtl/>
        </w:rPr>
        <w:t>התובעת העידה כי ידעה עברית, כי למדה בישראל, כי כתבה עברית וקראה עברית ואף למדה מספר קורסים בעברית. נכון הדבר כי התובעת הבהירה כי מתוקף עבודתה התעסקה יותר במספרים מאשר במילים, או כמו שאמרה, העברית שלי היתה מתאימה למקצוע שלי, בהנהלת חשבונות מדברים במספרים ולא במילים, יחד עם זאת לא עלתה כל טענה כי הכתוב בהסכם הממון לא היה מובן בגלל שנוסח בעברית</w:t>
      </w:r>
      <w:r w:rsidR="00864795">
        <w:rPr>
          <w:rFonts w:ascii="David" w:hAnsi="David" w:cs="David" w:hint="cs"/>
          <w:sz w:val="24"/>
          <w:szCs w:val="24"/>
          <w:rtl/>
        </w:rPr>
        <w:t xml:space="preserve"> </w:t>
      </w:r>
      <w:r w:rsidR="00864795" w:rsidRPr="001E0604">
        <w:rPr>
          <w:rFonts w:ascii="David" w:hAnsi="David" w:cs="David" w:hint="cs"/>
          <w:b/>
          <w:bCs/>
          <w:sz w:val="24"/>
          <w:szCs w:val="24"/>
          <w:rtl/>
        </w:rPr>
        <w:t>(</w:t>
      </w:r>
      <w:r w:rsidR="00694CAA">
        <w:rPr>
          <w:rFonts w:ascii="David" w:hAnsi="David" w:cs="David" w:hint="cs"/>
          <w:sz w:val="24"/>
          <w:szCs w:val="24"/>
          <w:rtl/>
        </w:rPr>
        <w:t xml:space="preserve">ראו: </w:t>
      </w:r>
      <w:r w:rsidR="00864795" w:rsidRPr="001E0604">
        <w:rPr>
          <w:rFonts w:ascii="David" w:hAnsi="David" w:cs="David" w:hint="cs"/>
          <w:b/>
          <w:bCs/>
          <w:sz w:val="24"/>
          <w:szCs w:val="24"/>
          <w:rtl/>
        </w:rPr>
        <w:t xml:space="preserve">פרוטוקול דיון מיום 1.2.2024 עמוד 26 שורות 5-36 ועמוד 27 שורות </w:t>
      </w:r>
      <w:r w:rsidR="00FD282C" w:rsidRPr="001E0604">
        <w:rPr>
          <w:rFonts w:ascii="David" w:hAnsi="David" w:cs="David" w:hint="cs"/>
          <w:b/>
          <w:bCs/>
          <w:sz w:val="24"/>
          <w:szCs w:val="24"/>
          <w:rtl/>
        </w:rPr>
        <w:t>19-28)</w:t>
      </w:r>
      <w:r w:rsidR="00864795" w:rsidRPr="001E0604">
        <w:rPr>
          <w:rFonts w:ascii="David" w:hAnsi="David" w:cs="David"/>
          <w:b/>
          <w:bCs/>
          <w:sz w:val="24"/>
          <w:szCs w:val="24"/>
          <w:rtl/>
        </w:rPr>
        <w:t>.</w:t>
      </w:r>
    </w:p>
    <w:p w:rsidR="000D324B" w:rsidRPr="001E0604" w:rsidRDefault="000D324B" w:rsidP="00E01101">
      <w:pPr>
        <w:pStyle w:val="ad"/>
        <w:numPr>
          <w:ilvl w:val="0"/>
          <w:numId w:val="11"/>
        </w:numPr>
        <w:tabs>
          <w:tab w:val="left" w:pos="425"/>
        </w:tabs>
        <w:spacing w:line="360" w:lineRule="auto"/>
        <w:jc w:val="both"/>
        <w:rPr>
          <w:rFonts w:ascii="David" w:hAnsi="David" w:cs="David"/>
          <w:b/>
          <w:bCs/>
          <w:sz w:val="24"/>
          <w:szCs w:val="24"/>
          <w:rtl/>
        </w:rPr>
      </w:pPr>
      <w:r w:rsidRPr="00380A65">
        <w:rPr>
          <w:rFonts w:ascii="David" w:hAnsi="David" w:cs="David"/>
          <w:sz w:val="24"/>
          <w:szCs w:val="24"/>
          <w:rtl/>
        </w:rPr>
        <w:t xml:space="preserve">יתר על כן, במהלך החקירה עמדה התובעת על כך שסברה כי חתמה על טיוטת הסכם, ואף הבהירה לבית המשפט את ההבדלים בין ההסכמים – תוספת/הורדה של סעיף 8 – שמשמעותו שיתוף בנכסים שרשומים משותפים, כך שאם היה ספק בהבנתה של התובעת </w:t>
      </w:r>
      <w:r w:rsidRPr="00380A65">
        <w:rPr>
          <w:rFonts w:ascii="David" w:hAnsi="David" w:cs="David"/>
          <w:sz w:val="24"/>
          <w:szCs w:val="24"/>
          <w:rtl/>
        </w:rPr>
        <w:lastRenderedPageBreak/>
        <w:t>את השפה העברית – בכך הופרכה כל טענה בענין זה</w:t>
      </w:r>
      <w:r w:rsidR="00E01101">
        <w:rPr>
          <w:rFonts w:ascii="David" w:hAnsi="David" w:cs="David" w:hint="cs"/>
          <w:sz w:val="24"/>
          <w:szCs w:val="24"/>
          <w:rtl/>
        </w:rPr>
        <w:t xml:space="preserve"> </w:t>
      </w:r>
      <w:r w:rsidR="00E01101" w:rsidRPr="001E0604">
        <w:rPr>
          <w:rFonts w:ascii="David" w:hAnsi="David" w:cs="David" w:hint="cs"/>
          <w:b/>
          <w:bCs/>
          <w:sz w:val="24"/>
          <w:szCs w:val="24"/>
          <w:rtl/>
        </w:rPr>
        <w:t>(</w:t>
      </w:r>
      <w:r w:rsidR="00B34714">
        <w:rPr>
          <w:rFonts w:ascii="David" w:hAnsi="David" w:cs="David" w:hint="cs"/>
          <w:sz w:val="24"/>
          <w:szCs w:val="24"/>
          <w:rtl/>
        </w:rPr>
        <w:t xml:space="preserve">ראו: </w:t>
      </w:r>
      <w:r w:rsidR="00E01101" w:rsidRPr="001E0604">
        <w:rPr>
          <w:rFonts w:ascii="David" w:hAnsi="David" w:cs="David" w:hint="cs"/>
          <w:b/>
          <w:bCs/>
          <w:sz w:val="24"/>
          <w:szCs w:val="24"/>
          <w:rtl/>
        </w:rPr>
        <w:t>פרוטוקול דיון מיום 1.2.2024 עמוד 62 ועמוד 78 ועמוד 82)</w:t>
      </w:r>
      <w:r w:rsidR="00E01101" w:rsidRPr="001E0604">
        <w:rPr>
          <w:rFonts w:ascii="David" w:hAnsi="David" w:cs="David"/>
          <w:b/>
          <w:bCs/>
          <w:sz w:val="24"/>
          <w:szCs w:val="24"/>
          <w:rtl/>
        </w:rPr>
        <w:t>.</w:t>
      </w:r>
    </w:p>
    <w:p w:rsidR="000D324B" w:rsidRDefault="000D324B" w:rsidP="00ED69B5">
      <w:pPr>
        <w:pStyle w:val="ad"/>
        <w:tabs>
          <w:tab w:val="left" w:pos="425"/>
        </w:tabs>
        <w:spacing w:line="240" w:lineRule="auto"/>
        <w:ind w:left="0" w:firstLine="283"/>
        <w:jc w:val="both"/>
        <w:rPr>
          <w:rFonts w:ascii="David" w:hAnsi="David" w:cs="David"/>
          <w:b/>
          <w:bCs/>
          <w:sz w:val="24"/>
          <w:szCs w:val="24"/>
          <w:u w:val="single"/>
        </w:rPr>
      </w:pPr>
    </w:p>
    <w:p w:rsidR="001E0604" w:rsidRPr="001E0604" w:rsidRDefault="000D324B" w:rsidP="001E0604">
      <w:pPr>
        <w:pStyle w:val="ad"/>
        <w:numPr>
          <w:ilvl w:val="0"/>
          <w:numId w:val="1"/>
        </w:numPr>
        <w:tabs>
          <w:tab w:val="left" w:pos="425"/>
        </w:tabs>
        <w:spacing w:line="360" w:lineRule="auto"/>
        <w:ind w:left="0" w:firstLine="283"/>
        <w:jc w:val="both"/>
        <w:rPr>
          <w:rFonts w:ascii="David" w:hAnsi="David" w:cs="David"/>
          <w:b/>
          <w:bCs/>
          <w:sz w:val="24"/>
          <w:szCs w:val="24"/>
          <w:u w:val="single"/>
        </w:rPr>
      </w:pPr>
      <w:r>
        <w:rPr>
          <w:rFonts w:ascii="David" w:hAnsi="David" w:cs="David"/>
          <w:b/>
          <w:bCs/>
          <w:sz w:val="24"/>
          <w:szCs w:val="24"/>
          <w:u w:val="single"/>
          <w:rtl/>
        </w:rPr>
        <w:t xml:space="preserve">התובעת לא הוכיחה כי לא היתה מיוצגת בהליך על ידי עו"ס יאנסון </w:t>
      </w:r>
      <w:r w:rsidRPr="001E0604">
        <w:rPr>
          <w:rFonts w:ascii="David" w:hAnsi="David" w:cs="David"/>
          <w:b/>
          <w:bCs/>
          <w:sz w:val="24"/>
          <w:szCs w:val="24"/>
          <w:rtl/>
        </w:rPr>
        <w:t xml:space="preserve">– </w:t>
      </w:r>
    </w:p>
    <w:p w:rsidR="000D324B" w:rsidRPr="001E0604" w:rsidRDefault="000D324B" w:rsidP="001E0604">
      <w:pPr>
        <w:pStyle w:val="ad"/>
        <w:numPr>
          <w:ilvl w:val="0"/>
          <w:numId w:val="1"/>
        </w:numPr>
        <w:tabs>
          <w:tab w:val="left" w:pos="425"/>
        </w:tabs>
        <w:spacing w:line="360" w:lineRule="auto"/>
        <w:ind w:hanging="437"/>
        <w:jc w:val="both"/>
        <w:rPr>
          <w:rFonts w:ascii="David" w:hAnsi="David" w:cs="David"/>
          <w:b/>
          <w:bCs/>
          <w:sz w:val="24"/>
          <w:szCs w:val="24"/>
          <w:u w:val="single"/>
          <w:rtl/>
        </w:rPr>
      </w:pPr>
      <w:r w:rsidRPr="001E0604">
        <w:rPr>
          <w:rFonts w:ascii="David" w:hAnsi="David" w:cs="David"/>
          <w:sz w:val="24"/>
          <w:szCs w:val="24"/>
          <w:rtl/>
        </w:rPr>
        <w:t>התובעת שבה וטענה כי עו"ד יאנסון לא ייצגה אותה אלא את הנתבע בלבד. בית המשפט לא יכול לקבל טענה זו ממספר סיבות שיפורטו להלן:</w:t>
      </w:r>
    </w:p>
    <w:p w:rsidR="000D324B" w:rsidRPr="001E0604" w:rsidRDefault="000D324B" w:rsidP="00ED69B5">
      <w:pPr>
        <w:pStyle w:val="ad"/>
        <w:numPr>
          <w:ilvl w:val="0"/>
          <w:numId w:val="20"/>
        </w:numPr>
        <w:tabs>
          <w:tab w:val="left" w:pos="425"/>
        </w:tabs>
        <w:spacing w:line="360" w:lineRule="auto"/>
        <w:jc w:val="both"/>
        <w:rPr>
          <w:rFonts w:ascii="David" w:hAnsi="David" w:cs="David"/>
          <w:b/>
          <w:bCs/>
          <w:sz w:val="24"/>
          <w:szCs w:val="24"/>
          <w:rtl/>
        </w:rPr>
      </w:pPr>
      <w:r>
        <w:rPr>
          <w:rFonts w:ascii="David" w:hAnsi="David" w:cs="David"/>
          <w:sz w:val="24"/>
          <w:szCs w:val="24"/>
          <w:rtl/>
        </w:rPr>
        <w:t xml:space="preserve">לפי עדות התובעת הקשר הראשוני שנוצר עם עו"ד יאנסון היה בזכותה, היא זו שהעבירה את מספר הטלפון שלה, מהיכרות מעבודה קודמת, לנתבע </w:t>
      </w:r>
      <w:r w:rsidR="001E0604" w:rsidRPr="001E0604">
        <w:rPr>
          <w:rFonts w:ascii="David" w:hAnsi="David" w:cs="David" w:hint="cs"/>
          <w:b/>
          <w:bCs/>
          <w:sz w:val="24"/>
          <w:szCs w:val="24"/>
          <w:rtl/>
        </w:rPr>
        <w:t>(</w:t>
      </w:r>
      <w:r w:rsidR="00B34714">
        <w:rPr>
          <w:rFonts w:ascii="David" w:hAnsi="David" w:cs="David" w:hint="cs"/>
          <w:sz w:val="24"/>
          <w:szCs w:val="24"/>
          <w:rtl/>
        </w:rPr>
        <w:t xml:space="preserve">ראו: </w:t>
      </w:r>
      <w:r w:rsidR="001E0604" w:rsidRPr="001E0604">
        <w:rPr>
          <w:rFonts w:ascii="David" w:hAnsi="David" w:cs="David" w:hint="cs"/>
          <w:b/>
          <w:bCs/>
          <w:sz w:val="24"/>
          <w:szCs w:val="24"/>
          <w:rtl/>
        </w:rPr>
        <w:t xml:space="preserve">פרוטוקול דיון מיום 1.2.2024 עמוד </w:t>
      </w:r>
      <w:r w:rsidR="001E0604">
        <w:rPr>
          <w:rFonts w:ascii="David" w:hAnsi="David" w:cs="David" w:hint="cs"/>
          <w:b/>
          <w:bCs/>
          <w:sz w:val="24"/>
          <w:szCs w:val="24"/>
          <w:rtl/>
        </w:rPr>
        <w:t>28 שורות 15-22</w:t>
      </w:r>
      <w:r w:rsidR="001E0604" w:rsidRPr="001E0604">
        <w:rPr>
          <w:rFonts w:ascii="David" w:hAnsi="David" w:cs="David" w:hint="cs"/>
          <w:b/>
          <w:bCs/>
          <w:sz w:val="24"/>
          <w:szCs w:val="24"/>
          <w:rtl/>
        </w:rPr>
        <w:t>)</w:t>
      </w:r>
      <w:r w:rsidR="001E0604">
        <w:rPr>
          <w:rFonts w:ascii="David" w:hAnsi="David" w:cs="David" w:hint="cs"/>
          <w:b/>
          <w:bCs/>
          <w:sz w:val="24"/>
          <w:szCs w:val="24"/>
          <w:rtl/>
        </w:rPr>
        <w:t xml:space="preserve">, </w:t>
      </w:r>
      <w:r w:rsidRPr="001E0604">
        <w:rPr>
          <w:rFonts w:ascii="David" w:hAnsi="David" w:cs="David"/>
          <w:sz w:val="24"/>
          <w:szCs w:val="24"/>
          <w:rtl/>
        </w:rPr>
        <w:t>קרי לנתבע לא היתה שום היכרות אישית או קודמת עם עו"ד יאנסון.</w:t>
      </w:r>
    </w:p>
    <w:p w:rsidR="006172AD" w:rsidRDefault="000D324B" w:rsidP="0099210A">
      <w:pPr>
        <w:pStyle w:val="ad"/>
        <w:numPr>
          <w:ilvl w:val="0"/>
          <w:numId w:val="20"/>
        </w:numPr>
        <w:tabs>
          <w:tab w:val="left" w:pos="425"/>
        </w:tabs>
        <w:spacing w:line="360" w:lineRule="auto"/>
        <w:jc w:val="both"/>
        <w:rPr>
          <w:rFonts w:ascii="David" w:hAnsi="David" w:cs="David"/>
          <w:sz w:val="24"/>
          <w:szCs w:val="24"/>
        </w:rPr>
      </w:pPr>
      <w:r w:rsidRPr="006172AD">
        <w:rPr>
          <w:rFonts w:ascii="David" w:hAnsi="David" w:cs="David"/>
          <w:sz w:val="24"/>
          <w:szCs w:val="24"/>
          <w:rtl/>
        </w:rPr>
        <w:t>מהמסמכים שעו"ד יאנסון הגישה לבית המשפט עולה כי הוחלפו מיילים בינה לבין התובעת, לרבות שהתובעת ביקשה מעו"ד יאנסון להוסיף/להוריד סעיפים</w:t>
      </w:r>
      <w:r w:rsidR="00E63A57" w:rsidRPr="006172AD">
        <w:rPr>
          <w:rFonts w:ascii="David" w:hAnsi="David" w:cs="David" w:hint="cs"/>
          <w:sz w:val="24"/>
          <w:szCs w:val="24"/>
          <w:rtl/>
        </w:rPr>
        <w:t xml:space="preserve"> </w:t>
      </w:r>
      <w:r w:rsidR="00E63A57" w:rsidRPr="006172AD">
        <w:rPr>
          <w:rFonts w:ascii="David" w:hAnsi="David" w:cs="David" w:hint="cs"/>
          <w:b/>
          <w:bCs/>
          <w:sz w:val="24"/>
          <w:szCs w:val="24"/>
          <w:rtl/>
        </w:rPr>
        <w:t>(</w:t>
      </w:r>
      <w:r w:rsidR="00B34714" w:rsidRPr="006172AD">
        <w:rPr>
          <w:rFonts w:ascii="David" w:hAnsi="David" w:cs="David" w:hint="cs"/>
          <w:sz w:val="24"/>
          <w:szCs w:val="24"/>
          <w:rtl/>
        </w:rPr>
        <w:t xml:space="preserve">ראו: </w:t>
      </w:r>
      <w:r w:rsidR="00E63A57" w:rsidRPr="006172AD">
        <w:rPr>
          <w:rFonts w:ascii="David" w:hAnsi="David" w:cs="David" w:hint="cs"/>
          <w:b/>
          <w:bCs/>
          <w:sz w:val="24"/>
          <w:szCs w:val="24"/>
          <w:rtl/>
        </w:rPr>
        <w:t>פרוטוקול דיון מיום 1.2.2024 עמוד 31 שורות 1-10 ועמוד 63 שורות 30-36 ועמוד 64 שורות 1-8)</w:t>
      </w:r>
      <w:r w:rsidRPr="006172AD">
        <w:rPr>
          <w:rFonts w:ascii="David" w:hAnsi="David" w:cs="David"/>
          <w:sz w:val="24"/>
          <w:szCs w:val="24"/>
          <w:rtl/>
        </w:rPr>
        <w:t>. כשנשאלה על זה השיבה "</w:t>
      </w:r>
      <w:r w:rsidRPr="006172AD">
        <w:rPr>
          <w:rFonts w:ascii="David" w:hAnsi="David" w:cs="David"/>
          <w:b/>
          <w:bCs/>
          <w:sz w:val="24"/>
          <w:szCs w:val="24"/>
          <w:rtl/>
        </w:rPr>
        <w:t>אני מאמינה שהוא ביקש ממני לעשות את זה</w:t>
      </w:r>
      <w:r w:rsidRPr="006172AD">
        <w:rPr>
          <w:rFonts w:ascii="David" w:hAnsi="David" w:cs="David"/>
          <w:sz w:val="24"/>
          <w:szCs w:val="24"/>
          <w:rtl/>
        </w:rPr>
        <w:t xml:space="preserve">" ובהמשך </w:t>
      </w:r>
      <w:r w:rsidR="000A28D3" w:rsidRPr="006172AD">
        <w:rPr>
          <w:rFonts w:ascii="David" w:hAnsi="David" w:cs="David" w:hint="cs"/>
          <w:sz w:val="24"/>
          <w:szCs w:val="24"/>
          <w:rtl/>
        </w:rPr>
        <w:t xml:space="preserve">העידה </w:t>
      </w:r>
      <w:r w:rsidR="000A28D3" w:rsidRPr="006172AD">
        <w:rPr>
          <w:rFonts w:ascii="David" w:hAnsi="David" w:cs="David" w:hint="cs"/>
          <w:b/>
          <w:bCs/>
          <w:sz w:val="24"/>
          <w:szCs w:val="24"/>
          <w:rtl/>
        </w:rPr>
        <w:t>שניהלו מו"מ ביניהם</w:t>
      </w:r>
      <w:r w:rsidRPr="006172AD">
        <w:rPr>
          <w:rFonts w:ascii="David" w:hAnsi="David" w:cs="David"/>
          <w:sz w:val="24"/>
          <w:szCs w:val="24"/>
          <w:rtl/>
        </w:rPr>
        <w:t xml:space="preserve"> </w:t>
      </w:r>
      <w:r w:rsidR="00DC67B5" w:rsidRPr="006172AD">
        <w:rPr>
          <w:rFonts w:ascii="David" w:hAnsi="David" w:cs="David" w:hint="cs"/>
          <w:b/>
          <w:bCs/>
          <w:sz w:val="24"/>
          <w:szCs w:val="24"/>
          <w:rtl/>
        </w:rPr>
        <w:t>(</w:t>
      </w:r>
      <w:r w:rsidR="00B34714" w:rsidRPr="006172AD">
        <w:rPr>
          <w:rFonts w:ascii="David" w:hAnsi="David" w:cs="David" w:hint="cs"/>
          <w:sz w:val="24"/>
          <w:szCs w:val="24"/>
          <w:rtl/>
        </w:rPr>
        <w:t xml:space="preserve">ראו: </w:t>
      </w:r>
      <w:r w:rsidR="00DC67B5" w:rsidRPr="006172AD">
        <w:rPr>
          <w:rFonts w:ascii="David" w:hAnsi="David" w:cs="David" w:hint="cs"/>
          <w:b/>
          <w:bCs/>
          <w:sz w:val="24"/>
          <w:szCs w:val="24"/>
          <w:rtl/>
        </w:rPr>
        <w:t xml:space="preserve">פרוטוקול דיון מיום 1.2.2024 עמוד 67 שורות 21-31 ועמוד 68 שורות 1-6) </w:t>
      </w:r>
      <w:r w:rsidRPr="006172AD">
        <w:rPr>
          <w:rFonts w:ascii="David" w:hAnsi="David" w:cs="David"/>
          <w:sz w:val="24"/>
          <w:szCs w:val="24"/>
          <w:rtl/>
        </w:rPr>
        <w:t xml:space="preserve">– התובעת בעצמה מעידה כי ניהלה עם הנתבע מו"מ בבית. </w:t>
      </w:r>
    </w:p>
    <w:p w:rsidR="000D324B" w:rsidRPr="006172AD" w:rsidRDefault="000D324B" w:rsidP="0099210A">
      <w:pPr>
        <w:pStyle w:val="ad"/>
        <w:numPr>
          <w:ilvl w:val="0"/>
          <w:numId w:val="20"/>
        </w:numPr>
        <w:tabs>
          <w:tab w:val="left" w:pos="425"/>
        </w:tabs>
        <w:spacing w:line="360" w:lineRule="auto"/>
        <w:jc w:val="both"/>
        <w:rPr>
          <w:rFonts w:ascii="David" w:hAnsi="David" w:cs="David"/>
          <w:sz w:val="24"/>
          <w:szCs w:val="24"/>
        </w:rPr>
      </w:pPr>
      <w:r w:rsidRPr="006172AD">
        <w:rPr>
          <w:rFonts w:ascii="David" w:hAnsi="David" w:cs="David"/>
          <w:sz w:val="24"/>
          <w:szCs w:val="24"/>
          <w:rtl/>
        </w:rPr>
        <w:t>נכונה טענת התובעת כי למיילים שהיא שלחה לעו"ד יאנסון הנתבע היה מכותב ואילו המיילים שהוחלפו בין הנתבע לעו"ד יאנסון היו ללא ידיעתה ומבלי שהיתה מכותבת. יחד עם זאת אין באמור בכדי לקבוע כי עו"ד יאנסון ייצגה רק את הנתבע.</w:t>
      </w:r>
    </w:p>
    <w:p w:rsidR="000D324B" w:rsidRDefault="000D324B" w:rsidP="00ED69B5">
      <w:pPr>
        <w:pStyle w:val="ad"/>
        <w:numPr>
          <w:ilvl w:val="0"/>
          <w:numId w:val="20"/>
        </w:numPr>
        <w:tabs>
          <w:tab w:val="left" w:pos="425"/>
        </w:tabs>
        <w:spacing w:line="360" w:lineRule="auto"/>
        <w:jc w:val="both"/>
        <w:rPr>
          <w:rFonts w:ascii="David" w:hAnsi="David" w:cs="David"/>
          <w:sz w:val="24"/>
          <w:szCs w:val="24"/>
        </w:rPr>
      </w:pPr>
      <w:r>
        <w:rPr>
          <w:rFonts w:ascii="David" w:hAnsi="David" w:cs="David"/>
          <w:sz w:val="24"/>
          <w:szCs w:val="24"/>
          <w:rtl/>
        </w:rPr>
        <w:t xml:space="preserve">מפרוטוקול דיון אישור ההסכם </w:t>
      </w:r>
      <w:r w:rsidR="00DC67B5">
        <w:rPr>
          <w:rFonts w:ascii="David" w:hAnsi="David" w:cs="David" w:hint="cs"/>
          <w:sz w:val="24"/>
          <w:szCs w:val="24"/>
          <w:rtl/>
        </w:rPr>
        <w:t xml:space="preserve">(שהובא מעלה) </w:t>
      </w:r>
      <w:r>
        <w:rPr>
          <w:rFonts w:ascii="David" w:hAnsi="David" w:cs="David"/>
          <w:sz w:val="24"/>
          <w:szCs w:val="24"/>
          <w:rtl/>
        </w:rPr>
        <w:t>עולה במפורש כי עו"ד יאנסון ייצגה את שני הצדדים, גם על פי הכתוב בו, גם על פי כך שעו"ד יאנסון נדרשה על ידי בית המשפט לצאת עם הצדדים ולשוחח עימם, וגם על פי התשובות שעו"ד יאנסון השיבה לשאלות בית המשפט.</w:t>
      </w:r>
    </w:p>
    <w:p w:rsidR="000D324B" w:rsidRDefault="000D324B" w:rsidP="00ED69B5">
      <w:pPr>
        <w:pStyle w:val="ad"/>
        <w:numPr>
          <w:ilvl w:val="0"/>
          <w:numId w:val="20"/>
        </w:numPr>
        <w:tabs>
          <w:tab w:val="left" w:pos="425"/>
        </w:tabs>
        <w:spacing w:line="360" w:lineRule="auto"/>
        <w:jc w:val="both"/>
        <w:rPr>
          <w:rFonts w:ascii="David" w:hAnsi="David" w:cs="David"/>
          <w:sz w:val="24"/>
          <w:szCs w:val="24"/>
        </w:rPr>
      </w:pPr>
      <w:r>
        <w:rPr>
          <w:rFonts w:ascii="David" w:hAnsi="David" w:cs="David"/>
          <w:sz w:val="24"/>
          <w:szCs w:val="24"/>
          <w:rtl/>
        </w:rPr>
        <w:t>התובעת נשאלה שוב ושוב בחקירתה, מדוע אם לשיטתה עו"ד יאנסון לא ייצגה אותה, היא לא ציינה זאת בפרוטוקול הדיון, לא בתחילתו, לא כשנדרשה לצאת עימה על ידי בית המשפט, ולא כאשר הצדדים ועו"ד יאנסון חזרו לאולם, ולתובעת לא היתה כל תשובה עניינית, חוץ מחזרה שוב ושוב על אותה מנטרה "</w:t>
      </w:r>
      <w:r w:rsidR="000A28D3">
        <w:rPr>
          <w:rFonts w:ascii="David" w:hAnsi="David" w:cs="David" w:hint="cs"/>
          <w:b/>
          <w:bCs/>
          <w:sz w:val="24"/>
          <w:szCs w:val="24"/>
          <w:rtl/>
        </w:rPr>
        <w:t>נתתי אמון מלא בבעלי והאמנתי לו..."</w:t>
      </w:r>
      <w:r w:rsidR="000A28D3">
        <w:rPr>
          <w:rFonts w:ascii="David" w:hAnsi="David" w:cs="David" w:hint="cs"/>
          <w:sz w:val="24"/>
          <w:szCs w:val="24"/>
          <w:rtl/>
        </w:rPr>
        <w:t xml:space="preserve"> </w:t>
      </w:r>
      <w:r w:rsidR="000A28D3" w:rsidRPr="001E0604">
        <w:rPr>
          <w:rFonts w:ascii="David" w:hAnsi="David" w:cs="David" w:hint="cs"/>
          <w:b/>
          <w:bCs/>
          <w:sz w:val="24"/>
          <w:szCs w:val="24"/>
          <w:rtl/>
        </w:rPr>
        <w:t>(</w:t>
      </w:r>
      <w:r w:rsidR="00B34714">
        <w:rPr>
          <w:rFonts w:ascii="David" w:hAnsi="David" w:cs="David" w:hint="cs"/>
          <w:sz w:val="24"/>
          <w:szCs w:val="24"/>
          <w:rtl/>
        </w:rPr>
        <w:t xml:space="preserve">ראו: </w:t>
      </w:r>
      <w:r w:rsidR="000A28D3" w:rsidRPr="001E0604">
        <w:rPr>
          <w:rFonts w:ascii="David" w:hAnsi="David" w:cs="David" w:hint="cs"/>
          <w:b/>
          <w:bCs/>
          <w:sz w:val="24"/>
          <w:szCs w:val="24"/>
          <w:rtl/>
        </w:rPr>
        <w:t xml:space="preserve">פרוטוקול דיון מיום 1.2.2024 עמוד </w:t>
      </w:r>
      <w:r w:rsidR="000A28D3">
        <w:rPr>
          <w:rFonts w:ascii="David" w:hAnsi="David" w:cs="David" w:hint="cs"/>
          <w:b/>
          <w:bCs/>
          <w:sz w:val="24"/>
          <w:szCs w:val="24"/>
          <w:rtl/>
        </w:rPr>
        <w:t>45 שורות</w:t>
      </w:r>
      <w:r w:rsidR="000A28D3" w:rsidRPr="000A28D3">
        <w:rPr>
          <w:rFonts w:ascii="David" w:hAnsi="David" w:cs="David" w:hint="cs"/>
          <w:b/>
          <w:bCs/>
          <w:sz w:val="24"/>
          <w:szCs w:val="24"/>
          <w:rtl/>
        </w:rPr>
        <w:t xml:space="preserve"> 30-31)</w:t>
      </w:r>
      <w:r w:rsidRPr="000A28D3">
        <w:rPr>
          <w:rFonts w:ascii="David" w:hAnsi="David" w:cs="David"/>
          <w:b/>
          <w:bCs/>
          <w:sz w:val="24"/>
          <w:szCs w:val="24"/>
          <w:rtl/>
        </w:rPr>
        <w:t xml:space="preserve">. </w:t>
      </w:r>
    </w:p>
    <w:p w:rsidR="000D324B" w:rsidRDefault="000D324B" w:rsidP="00ED69B5">
      <w:pPr>
        <w:pStyle w:val="ad"/>
        <w:numPr>
          <w:ilvl w:val="0"/>
          <w:numId w:val="20"/>
        </w:numPr>
        <w:tabs>
          <w:tab w:val="left" w:pos="425"/>
        </w:tabs>
        <w:spacing w:line="360" w:lineRule="auto"/>
        <w:jc w:val="both"/>
        <w:rPr>
          <w:rFonts w:ascii="David" w:hAnsi="David" w:cs="David"/>
          <w:sz w:val="24"/>
          <w:szCs w:val="24"/>
        </w:rPr>
      </w:pPr>
      <w:r>
        <w:rPr>
          <w:rFonts w:ascii="David" w:hAnsi="David" w:cs="David"/>
          <w:sz w:val="24"/>
          <w:szCs w:val="24"/>
          <w:rtl/>
        </w:rPr>
        <w:t>התובעת טענה בכתבי הטענות שלא זכרה בכלל שיש הסכם ובעדות הבהירה כי זוכרת שחתמה על ההסכם בבית</w:t>
      </w:r>
      <w:r w:rsidR="00535DB5">
        <w:rPr>
          <w:rFonts w:ascii="David" w:hAnsi="David" w:cs="David" w:hint="cs"/>
          <w:sz w:val="24"/>
          <w:szCs w:val="24"/>
          <w:rtl/>
        </w:rPr>
        <w:t xml:space="preserve"> </w:t>
      </w:r>
      <w:r w:rsidR="00535DB5" w:rsidRPr="001E0604">
        <w:rPr>
          <w:rFonts w:ascii="David" w:hAnsi="David" w:cs="David" w:hint="cs"/>
          <w:b/>
          <w:bCs/>
          <w:sz w:val="24"/>
          <w:szCs w:val="24"/>
          <w:rtl/>
        </w:rPr>
        <w:t>(</w:t>
      </w:r>
      <w:r w:rsidR="00B34714">
        <w:rPr>
          <w:rFonts w:ascii="David" w:hAnsi="David" w:cs="David" w:hint="cs"/>
          <w:sz w:val="24"/>
          <w:szCs w:val="24"/>
          <w:rtl/>
        </w:rPr>
        <w:t xml:space="preserve">ראו: </w:t>
      </w:r>
      <w:r w:rsidR="00535DB5" w:rsidRPr="001E0604">
        <w:rPr>
          <w:rFonts w:ascii="David" w:hAnsi="David" w:cs="David" w:hint="cs"/>
          <w:b/>
          <w:bCs/>
          <w:sz w:val="24"/>
          <w:szCs w:val="24"/>
          <w:rtl/>
        </w:rPr>
        <w:t xml:space="preserve">פרוטוקול דיון מיום 1.2.2024 עמוד 30 שורות </w:t>
      </w:r>
      <w:r w:rsidR="00535DB5">
        <w:rPr>
          <w:rFonts w:ascii="David" w:hAnsi="David" w:cs="David" w:hint="cs"/>
          <w:b/>
          <w:bCs/>
          <w:sz w:val="24"/>
          <w:szCs w:val="24"/>
          <w:rtl/>
        </w:rPr>
        <w:t>22-36</w:t>
      </w:r>
      <w:r w:rsidR="00535DB5" w:rsidRPr="001E0604">
        <w:rPr>
          <w:rFonts w:ascii="David" w:hAnsi="David" w:cs="David" w:hint="cs"/>
          <w:b/>
          <w:bCs/>
          <w:sz w:val="24"/>
          <w:szCs w:val="24"/>
          <w:rtl/>
        </w:rPr>
        <w:t>)</w:t>
      </w:r>
      <w:r>
        <w:rPr>
          <w:rFonts w:ascii="David" w:hAnsi="David" w:cs="David"/>
          <w:sz w:val="24"/>
          <w:szCs w:val="24"/>
          <w:rtl/>
        </w:rPr>
        <w:t>.</w:t>
      </w:r>
    </w:p>
    <w:p w:rsidR="00B74EF8" w:rsidRPr="00B74EF8" w:rsidRDefault="000D324B" w:rsidP="00ED69B5">
      <w:pPr>
        <w:pStyle w:val="ad"/>
        <w:numPr>
          <w:ilvl w:val="0"/>
          <w:numId w:val="20"/>
        </w:numPr>
        <w:tabs>
          <w:tab w:val="left" w:pos="425"/>
        </w:tabs>
        <w:spacing w:line="360" w:lineRule="auto"/>
        <w:jc w:val="both"/>
        <w:rPr>
          <w:rFonts w:ascii="David" w:hAnsi="David" w:cs="David"/>
          <w:sz w:val="24"/>
          <w:szCs w:val="24"/>
        </w:rPr>
      </w:pPr>
      <w:r>
        <w:rPr>
          <w:rFonts w:ascii="David" w:hAnsi="David" w:cs="David"/>
          <w:sz w:val="24"/>
          <w:szCs w:val="24"/>
          <w:rtl/>
        </w:rPr>
        <w:t>מנגד, מחקירתה של עו"ד יאנסון עולה כי היא ייצגה את שני הצדדים בא</w:t>
      </w:r>
      <w:r w:rsidR="0055026B">
        <w:rPr>
          <w:rFonts w:ascii="David" w:hAnsi="David" w:cs="David"/>
          <w:sz w:val="24"/>
          <w:szCs w:val="24"/>
          <w:rtl/>
        </w:rPr>
        <w:t>ותה המידה</w:t>
      </w:r>
      <w:r w:rsidR="007B5476">
        <w:rPr>
          <w:rFonts w:ascii="David" w:hAnsi="David" w:cs="David" w:hint="cs"/>
          <w:sz w:val="24"/>
          <w:szCs w:val="24"/>
          <w:rtl/>
        </w:rPr>
        <w:t xml:space="preserve"> </w:t>
      </w:r>
      <w:r w:rsidR="007B5476" w:rsidRPr="001E0604">
        <w:rPr>
          <w:rFonts w:ascii="David" w:hAnsi="David" w:cs="David" w:hint="cs"/>
          <w:b/>
          <w:bCs/>
          <w:sz w:val="24"/>
          <w:szCs w:val="24"/>
          <w:rtl/>
        </w:rPr>
        <w:t>(</w:t>
      </w:r>
      <w:r w:rsidR="00B34714">
        <w:rPr>
          <w:rFonts w:ascii="David" w:hAnsi="David" w:cs="David" w:hint="cs"/>
          <w:sz w:val="24"/>
          <w:szCs w:val="24"/>
          <w:rtl/>
        </w:rPr>
        <w:t xml:space="preserve">ראו: </w:t>
      </w:r>
      <w:r w:rsidR="007B5476" w:rsidRPr="001E0604">
        <w:rPr>
          <w:rFonts w:ascii="David" w:hAnsi="David" w:cs="David" w:hint="cs"/>
          <w:b/>
          <w:bCs/>
          <w:sz w:val="24"/>
          <w:szCs w:val="24"/>
          <w:rtl/>
        </w:rPr>
        <w:t xml:space="preserve">פרוטוקול דיון מיום </w:t>
      </w:r>
      <w:r w:rsidR="007B5476">
        <w:rPr>
          <w:rFonts w:ascii="David" w:hAnsi="David" w:cs="David" w:hint="cs"/>
          <w:b/>
          <w:bCs/>
          <w:sz w:val="24"/>
          <w:szCs w:val="24"/>
          <w:rtl/>
        </w:rPr>
        <w:t>7</w:t>
      </w:r>
      <w:r w:rsidR="007B5476" w:rsidRPr="001E0604">
        <w:rPr>
          <w:rFonts w:ascii="David" w:hAnsi="David" w:cs="David" w:hint="cs"/>
          <w:b/>
          <w:bCs/>
          <w:sz w:val="24"/>
          <w:szCs w:val="24"/>
          <w:rtl/>
        </w:rPr>
        <w:t>.2.2024 עמוד 3</w:t>
      </w:r>
      <w:r w:rsidR="007B5476">
        <w:rPr>
          <w:rFonts w:ascii="David" w:hAnsi="David" w:cs="David" w:hint="cs"/>
          <w:b/>
          <w:bCs/>
          <w:sz w:val="24"/>
          <w:szCs w:val="24"/>
          <w:rtl/>
        </w:rPr>
        <w:t>6</w:t>
      </w:r>
      <w:r w:rsidR="007B5476" w:rsidRPr="001E0604">
        <w:rPr>
          <w:rFonts w:ascii="David" w:hAnsi="David" w:cs="David" w:hint="cs"/>
          <w:b/>
          <w:bCs/>
          <w:sz w:val="24"/>
          <w:szCs w:val="24"/>
          <w:rtl/>
        </w:rPr>
        <w:t xml:space="preserve"> שורות </w:t>
      </w:r>
      <w:r w:rsidR="007B5476">
        <w:rPr>
          <w:rFonts w:ascii="David" w:hAnsi="David" w:cs="David" w:hint="cs"/>
          <w:b/>
          <w:bCs/>
          <w:sz w:val="24"/>
          <w:szCs w:val="24"/>
          <w:rtl/>
        </w:rPr>
        <w:t>18-23</w:t>
      </w:r>
      <w:r w:rsidR="007B5476" w:rsidRPr="001E0604">
        <w:rPr>
          <w:rFonts w:ascii="David" w:hAnsi="David" w:cs="David" w:hint="cs"/>
          <w:b/>
          <w:bCs/>
          <w:sz w:val="24"/>
          <w:szCs w:val="24"/>
          <w:rtl/>
        </w:rPr>
        <w:t>)</w:t>
      </w:r>
      <w:r w:rsidR="007B5476">
        <w:rPr>
          <w:rFonts w:ascii="David" w:hAnsi="David" w:cs="David" w:hint="cs"/>
          <w:b/>
          <w:bCs/>
          <w:sz w:val="24"/>
          <w:szCs w:val="24"/>
          <w:rtl/>
        </w:rPr>
        <w:t xml:space="preserve"> </w:t>
      </w:r>
      <w:r w:rsidR="0055026B">
        <w:rPr>
          <w:rFonts w:ascii="David" w:hAnsi="David" w:cs="David" w:hint="cs"/>
          <w:sz w:val="24"/>
          <w:szCs w:val="24"/>
          <w:rtl/>
        </w:rPr>
        <w:t xml:space="preserve">כי היא שלחה מיילים לשני הצדדים, לרבות את </w:t>
      </w:r>
      <w:r w:rsidR="0055026B" w:rsidRPr="007B5476">
        <w:rPr>
          <w:rFonts w:ascii="David" w:hAnsi="David" w:cs="David" w:hint="cs"/>
          <w:sz w:val="24"/>
          <w:szCs w:val="24"/>
          <w:rtl/>
        </w:rPr>
        <w:t xml:space="preserve">ההסכם ודיברה עם שניהם </w:t>
      </w:r>
      <w:r w:rsidR="0055026B" w:rsidRPr="001E0604">
        <w:rPr>
          <w:rFonts w:ascii="David" w:hAnsi="David" w:cs="David" w:hint="cs"/>
          <w:b/>
          <w:bCs/>
          <w:sz w:val="24"/>
          <w:szCs w:val="24"/>
          <w:rtl/>
        </w:rPr>
        <w:t>(</w:t>
      </w:r>
      <w:r w:rsidR="00B34714">
        <w:rPr>
          <w:rFonts w:ascii="David" w:hAnsi="David" w:cs="David" w:hint="cs"/>
          <w:sz w:val="24"/>
          <w:szCs w:val="24"/>
          <w:rtl/>
        </w:rPr>
        <w:t xml:space="preserve">ראו: </w:t>
      </w:r>
      <w:r w:rsidR="0055026B" w:rsidRPr="001E0604">
        <w:rPr>
          <w:rFonts w:ascii="David" w:hAnsi="David" w:cs="David" w:hint="cs"/>
          <w:b/>
          <w:bCs/>
          <w:sz w:val="24"/>
          <w:szCs w:val="24"/>
          <w:rtl/>
        </w:rPr>
        <w:t xml:space="preserve">פרוטוקול דיון מיום </w:t>
      </w:r>
      <w:r w:rsidR="0055026B">
        <w:rPr>
          <w:rFonts w:ascii="David" w:hAnsi="David" w:cs="David" w:hint="cs"/>
          <w:b/>
          <w:bCs/>
          <w:sz w:val="24"/>
          <w:szCs w:val="24"/>
          <w:rtl/>
        </w:rPr>
        <w:t>7</w:t>
      </w:r>
      <w:r w:rsidR="0055026B" w:rsidRPr="001E0604">
        <w:rPr>
          <w:rFonts w:ascii="David" w:hAnsi="David" w:cs="David" w:hint="cs"/>
          <w:b/>
          <w:bCs/>
          <w:sz w:val="24"/>
          <w:szCs w:val="24"/>
          <w:rtl/>
        </w:rPr>
        <w:t xml:space="preserve">.2.2024 </w:t>
      </w:r>
      <w:r w:rsidR="0055026B" w:rsidRPr="001E0604">
        <w:rPr>
          <w:rFonts w:ascii="David" w:hAnsi="David" w:cs="David" w:hint="cs"/>
          <w:b/>
          <w:bCs/>
          <w:sz w:val="24"/>
          <w:szCs w:val="24"/>
          <w:rtl/>
        </w:rPr>
        <w:lastRenderedPageBreak/>
        <w:t xml:space="preserve">עמוד </w:t>
      </w:r>
      <w:r w:rsidR="0055026B">
        <w:rPr>
          <w:rFonts w:ascii="David" w:hAnsi="David" w:cs="David" w:hint="cs"/>
          <w:b/>
          <w:bCs/>
          <w:sz w:val="24"/>
          <w:szCs w:val="24"/>
          <w:rtl/>
        </w:rPr>
        <w:t>28</w:t>
      </w:r>
      <w:r w:rsidR="0055026B" w:rsidRPr="001E0604">
        <w:rPr>
          <w:rFonts w:ascii="David" w:hAnsi="David" w:cs="David" w:hint="cs"/>
          <w:b/>
          <w:bCs/>
          <w:sz w:val="24"/>
          <w:szCs w:val="24"/>
          <w:rtl/>
        </w:rPr>
        <w:t xml:space="preserve"> שורות </w:t>
      </w:r>
      <w:r w:rsidR="0055026B">
        <w:rPr>
          <w:rFonts w:ascii="David" w:hAnsi="David" w:cs="David" w:hint="cs"/>
          <w:b/>
          <w:bCs/>
          <w:sz w:val="24"/>
          <w:szCs w:val="24"/>
          <w:rtl/>
        </w:rPr>
        <w:t>32-33 ועמוד 29 שורות 20-25</w:t>
      </w:r>
      <w:r w:rsidR="0055026B" w:rsidRPr="001E0604">
        <w:rPr>
          <w:rFonts w:ascii="David" w:hAnsi="David" w:cs="David" w:hint="cs"/>
          <w:b/>
          <w:bCs/>
          <w:sz w:val="24"/>
          <w:szCs w:val="24"/>
          <w:rtl/>
        </w:rPr>
        <w:t>)</w:t>
      </w:r>
      <w:r w:rsidR="007B5476">
        <w:rPr>
          <w:rFonts w:ascii="David" w:hAnsi="David" w:cs="David" w:hint="cs"/>
          <w:b/>
          <w:bCs/>
          <w:sz w:val="24"/>
          <w:szCs w:val="24"/>
          <w:rtl/>
        </w:rPr>
        <w:t xml:space="preserve">, </w:t>
      </w:r>
      <w:r w:rsidR="007B5476" w:rsidRPr="007B5476">
        <w:rPr>
          <w:rFonts w:ascii="David" w:hAnsi="David" w:cs="David" w:hint="cs"/>
          <w:sz w:val="24"/>
          <w:szCs w:val="24"/>
          <w:rtl/>
        </w:rPr>
        <w:t xml:space="preserve">כי לא היתה </w:t>
      </w:r>
      <w:r w:rsidR="007B5476">
        <w:rPr>
          <w:rFonts w:ascii="David" w:hAnsi="David" w:cs="David" w:hint="cs"/>
          <w:sz w:val="24"/>
          <w:szCs w:val="24"/>
          <w:rtl/>
        </w:rPr>
        <w:t xml:space="preserve">למי מהצדדים </w:t>
      </w:r>
      <w:r w:rsidR="007B5476" w:rsidRPr="007B5476">
        <w:rPr>
          <w:rFonts w:ascii="David" w:hAnsi="David" w:cs="David" w:hint="cs"/>
          <w:sz w:val="24"/>
          <w:szCs w:val="24"/>
          <w:rtl/>
        </w:rPr>
        <w:t>בעיית הבנת השפה העברית</w:t>
      </w:r>
      <w:r w:rsidR="007B5476">
        <w:rPr>
          <w:rFonts w:ascii="David" w:hAnsi="David" w:cs="David" w:hint="cs"/>
          <w:b/>
          <w:bCs/>
          <w:sz w:val="24"/>
          <w:szCs w:val="24"/>
          <w:rtl/>
        </w:rPr>
        <w:t xml:space="preserve"> </w:t>
      </w:r>
      <w:r w:rsidR="007B5476" w:rsidRPr="001E0604">
        <w:rPr>
          <w:rFonts w:ascii="David" w:hAnsi="David" w:cs="David" w:hint="cs"/>
          <w:b/>
          <w:bCs/>
          <w:sz w:val="24"/>
          <w:szCs w:val="24"/>
          <w:rtl/>
        </w:rPr>
        <w:t>(</w:t>
      </w:r>
      <w:r w:rsidR="00B34714">
        <w:rPr>
          <w:rFonts w:ascii="David" w:hAnsi="David" w:cs="David" w:hint="cs"/>
          <w:sz w:val="24"/>
          <w:szCs w:val="24"/>
          <w:rtl/>
        </w:rPr>
        <w:t xml:space="preserve">ראו: </w:t>
      </w:r>
      <w:r w:rsidR="007B5476" w:rsidRPr="001E0604">
        <w:rPr>
          <w:rFonts w:ascii="David" w:hAnsi="David" w:cs="David" w:hint="cs"/>
          <w:b/>
          <w:bCs/>
          <w:sz w:val="24"/>
          <w:szCs w:val="24"/>
          <w:rtl/>
        </w:rPr>
        <w:t xml:space="preserve">פרוטוקול דיון מיום </w:t>
      </w:r>
      <w:r w:rsidR="007B5476">
        <w:rPr>
          <w:rFonts w:ascii="David" w:hAnsi="David" w:cs="David" w:hint="cs"/>
          <w:b/>
          <w:bCs/>
          <w:sz w:val="24"/>
          <w:szCs w:val="24"/>
          <w:rtl/>
        </w:rPr>
        <w:t>7</w:t>
      </w:r>
      <w:r w:rsidR="007B5476" w:rsidRPr="001E0604">
        <w:rPr>
          <w:rFonts w:ascii="David" w:hAnsi="David" w:cs="David" w:hint="cs"/>
          <w:b/>
          <w:bCs/>
          <w:sz w:val="24"/>
          <w:szCs w:val="24"/>
          <w:rtl/>
        </w:rPr>
        <w:t>.2.2024 עמוד 3</w:t>
      </w:r>
      <w:r w:rsidR="007B5476">
        <w:rPr>
          <w:rFonts w:ascii="David" w:hAnsi="David" w:cs="David" w:hint="cs"/>
          <w:b/>
          <w:bCs/>
          <w:sz w:val="24"/>
          <w:szCs w:val="24"/>
          <w:rtl/>
        </w:rPr>
        <w:t>6</w:t>
      </w:r>
      <w:r w:rsidR="007B5476" w:rsidRPr="001E0604">
        <w:rPr>
          <w:rFonts w:ascii="David" w:hAnsi="David" w:cs="David" w:hint="cs"/>
          <w:b/>
          <w:bCs/>
          <w:sz w:val="24"/>
          <w:szCs w:val="24"/>
          <w:rtl/>
        </w:rPr>
        <w:t xml:space="preserve"> שורות </w:t>
      </w:r>
      <w:r w:rsidR="007B5476">
        <w:rPr>
          <w:rFonts w:ascii="David" w:hAnsi="David" w:cs="David" w:hint="cs"/>
          <w:b/>
          <w:bCs/>
          <w:sz w:val="24"/>
          <w:szCs w:val="24"/>
          <w:rtl/>
        </w:rPr>
        <w:t>12-16</w:t>
      </w:r>
      <w:r w:rsidR="007B5476" w:rsidRPr="001E0604">
        <w:rPr>
          <w:rFonts w:ascii="David" w:hAnsi="David" w:cs="David" w:hint="cs"/>
          <w:b/>
          <w:bCs/>
          <w:sz w:val="24"/>
          <w:szCs w:val="24"/>
          <w:rtl/>
        </w:rPr>
        <w:t>)</w:t>
      </w:r>
      <w:r w:rsidR="007B5476">
        <w:rPr>
          <w:rFonts w:ascii="David" w:hAnsi="David" w:cs="David" w:hint="cs"/>
          <w:b/>
          <w:bCs/>
          <w:sz w:val="24"/>
          <w:szCs w:val="24"/>
          <w:rtl/>
        </w:rPr>
        <w:t xml:space="preserve"> </w:t>
      </w:r>
      <w:r w:rsidR="007B5476" w:rsidRPr="007B5476">
        <w:rPr>
          <w:rFonts w:ascii="David" w:hAnsi="David" w:cs="David" w:hint="cs"/>
          <w:sz w:val="24"/>
          <w:szCs w:val="24"/>
          <w:rtl/>
        </w:rPr>
        <w:t>וכי לאחר חתימה היא מבררת אם זו נעשתה מרצון טוב</w:t>
      </w:r>
      <w:r w:rsidR="007B5476">
        <w:rPr>
          <w:rFonts w:ascii="David" w:hAnsi="David" w:cs="David" w:hint="cs"/>
          <w:sz w:val="24"/>
          <w:szCs w:val="24"/>
          <w:rtl/>
        </w:rPr>
        <w:t xml:space="preserve"> ואם מי מהצדדים מתנגד שיינתן להסכם תוקף של פסק דין</w:t>
      </w:r>
      <w:r w:rsidR="007B5476">
        <w:rPr>
          <w:rFonts w:ascii="David" w:hAnsi="David" w:cs="David" w:hint="cs"/>
          <w:b/>
          <w:bCs/>
          <w:sz w:val="24"/>
          <w:szCs w:val="24"/>
          <w:rtl/>
        </w:rPr>
        <w:t xml:space="preserve"> </w:t>
      </w:r>
      <w:r w:rsidR="007B5476" w:rsidRPr="001E0604">
        <w:rPr>
          <w:rFonts w:ascii="David" w:hAnsi="David" w:cs="David" w:hint="cs"/>
          <w:b/>
          <w:bCs/>
          <w:sz w:val="24"/>
          <w:szCs w:val="24"/>
          <w:rtl/>
        </w:rPr>
        <w:t>(</w:t>
      </w:r>
      <w:r w:rsidR="008E6AB3">
        <w:rPr>
          <w:rFonts w:ascii="David" w:hAnsi="David" w:cs="David" w:hint="cs"/>
          <w:sz w:val="24"/>
          <w:szCs w:val="24"/>
          <w:rtl/>
        </w:rPr>
        <w:t xml:space="preserve">ראו: </w:t>
      </w:r>
      <w:r w:rsidR="007B5476" w:rsidRPr="001E0604">
        <w:rPr>
          <w:rFonts w:ascii="David" w:hAnsi="David" w:cs="David" w:hint="cs"/>
          <w:b/>
          <w:bCs/>
          <w:sz w:val="24"/>
          <w:szCs w:val="24"/>
          <w:rtl/>
        </w:rPr>
        <w:t xml:space="preserve">פרוטוקול דיון מיום </w:t>
      </w:r>
      <w:r w:rsidR="007B5476">
        <w:rPr>
          <w:rFonts w:ascii="David" w:hAnsi="David" w:cs="David" w:hint="cs"/>
          <w:b/>
          <w:bCs/>
          <w:sz w:val="24"/>
          <w:szCs w:val="24"/>
          <w:rtl/>
        </w:rPr>
        <w:t>7</w:t>
      </w:r>
      <w:r w:rsidR="007B5476" w:rsidRPr="001E0604">
        <w:rPr>
          <w:rFonts w:ascii="David" w:hAnsi="David" w:cs="David" w:hint="cs"/>
          <w:b/>
          <w:bCs/>
          <w:sz w:val="24"/>
          <w:szCs w:val="24"/>
          <w:rtl/>
        </w:rPr>
        <w:t>.2.2024 עמוד 3</w:t>
      </w:r>
      <w:r w:rsidR="007B5476">
        <w:rPr>
          <w:rFonts w:ascii="David" w:hAnsi="David" w:cs="David" w:hint="cs"/>
          <w:b/>
          <w:bCs/>
          <w:sz w:val="24"/>
          <w:szCs w:val="24"/>
          <w:rtl/>
        </w:rPr>
        <w:t>7 שורות 21-25</w:t>
      </w:r>
      <w:r w:rsidR="007B5476" w:rsidRPr="001E0604">
        <w:rPr>
          <w:rFonts w:ascii="David" w:hAnsi="David" w:cs="David" w:hint="cs"/>
          <w:b/>
          <w:bCs/>
          <w:sz w:val="24"/>
          <w:szCs w:val="24"/>
          <w:rtl/>
        </w:rPr>
        <w:t>)</w:t>
      </w:r>
      <w:r w:rsidR="007B5476">
        <w:rPr>
          <w:rFonts w:ascii="David" w:hAnsi="David" w:cs="David" w:hint="cs"/>
          <w:b/>
          <w:bCs/>
          <w:sz w:val="24"/>
          <w:szCs w:val="24"/>
          <w:rtl/>
        </w:rPr>
        <w:t xml:space="preserve">. </w:t>
      </w:r>
      <w:r w:rsidR="007B5476" w:rsidRPr="00B74EF8">
        <w:rPr>
          <w:rFonts w:ascii="David" w:hAnsi="David" w:cs="David" w:hint="cs"/>
          <w:sz w:val="24"/>
          <w:szCs w:val="24"/>
          <w:rtl/>
        </w:rPr>
        <w:t xml:space="preserve">עו"ד יאנסון אומנם לא זכרה אם נתנה את ההסכם, לאחר אישורו, לכל אחד מהצדדים, אולם העידה כי תמיד עושה זאת </w:t>
      </w:r>
      <w:r w:rsidR="007B5476" w:rsidRPr="001E0604">
        <w:rPr>
          <w:rFonts w:ascii="David" w:hAnsi="David" w:cs="David" w:hint="cs"/>
          <w:b/>
          <w:bCs/>
          <w:sz w:val="24"/>
          <w:szCs w:val="24"/>
          <w:rtl/>
        </w:rPr>
        <w:t>(</w:t>
      </w:r>
      <w:r w:rsidR="008E6AB3">
        <w:rPr>
          <w:rFonts w:ascii="David" w:hAnsi="David" w:cs="David" w:hint="cs"/>
          <w:sz w:val="24"/>
          <w:szCs w:val="24"/>
          <w:rtl/>
        </w:rPr>
        <w:t xml:space="preserve">ראו: </w:t>
      </w:r>
      <w:r w:rsidR="007B5476" w:rsidRPr="001E0604">
        <w:rPr>
          <w:rFonts w:ascii="David" w:hAnsi="David" w:cs="David" w:hint="cs"/>
          <w:b/>
          <w:bCs/>
          <w:sz w:val="24"/>
          <w:szCs w:val="24"/>
          <w:rtl/>
        </w:rPr>
        <w:t xml:space="preserve">פרוטוקול דיון מיום </w:t>
      </w:r>
      <w:r w:rsidR="007B5476">
        <w:rPr>
          <w:rFonts w:ascii="David" w:hAnsi="David" w:cs="David" w:hint="cs"/>
          <w:b/>
          <w:bCs/>
          <w:sz w:val="24"/>
          <w:szCs w:val="24"/>
          <w:rtl/>
        </w:rPr>
        <w:t>7</w:t>
      </w:r>
      <w:r w:rsidR="007B5476" w:rsidRPr="001E0604">
        <w:rPr>
          <w:rFonts w:ascii="David" w:hAnsi="David" w:cs="David" w:hint="cs"/>
          <w:b/>
          <w:bCs/>
          <w:sz w:val="24"/>
          <w:szCs w:val="24"/>
          <w:rtl/>
        </w:rPr>
        <w:t>.2.2024 עמוד 3</w:t>
      </w:r>
      <w:r w:rsidR="00B74EF8">
        <w:rPr>
          <w:rFonts w:ascii="David" w:hAnsi="David" w:cs="David" w:hint="cs"/>
          <w:b/>
          <w:bCs/>
          <w:sz w:val="24"/>
          <w:szCs w:val="24"/>
          <w:rtl/>
        </w:rPr>
        <w:t>8</w:t>
      </w:r>
      <w:r w:rsidR="007B5476" w:rsidRPr="001E0604">
        <w:rPr>
          <w:rFonts w:ascii="David" w:hAnsi="David" w:cs="David" w:hint="cs"/>
          <w:b/>
          <w:bCs/>
          <w:sz w:val="24"/>
          <w:szCs w:val="24"/>
          <w:rtl/>
        </w:rPr>
        <w:t xml:space="preserve"> שורות </w:t>
      </w:r>
      <w:r w:rsidR="00B74EF8">
        <w:rPr>
          <w:rFonts w:ascii="David" w:hAnsi="David" w:cs="David" w:hint="cs"/>
          <w:b/>
          <w:bCs/>
          <w:sz w:val="24"/>
          <w:szCs w:val="24"/>
          <w:rtl/>
        </w:rPr>
        <w:t>17-21</w:t>
      </w:r>
      <w:r w:rsidR="007B5476" w:rsidRPr="001E0604">
        <w:rPr>
          <w:rFonts w:ascii="David" w:hAnsi="David" w:cs="David" w:hint="cs"/>
          <w:b/>
          <w:bCs/>
          <w:sz w:val="24"/>
          <w:szCs w:val="24"/>
          <w:rtl/>
        </w:rPr>
        <w:t>)</w:t>
      </w:r>
      <w:r w:rsidR="00B74EF8">
        <w:rPr>
          <w:rFonts w:ascii="David" w:hAnsi="David" w:cs="David" w:hint="cs"/>
          <w:b/>
          <w:bCs/>
          <w:sz w:val="24"/>
          <w:szCs w:val="24"/>
          <w:rtl/>
        </w:rPr>
        <w:t>.</w:t>
      </w:r>
    </w:p>
    <w:p w:rsidR="000D324B" w:rsidRDefault="000D324B" w:rsidP="00ED69B5">
      <w:pPr>
        <w:pStyle w:val="ad"/>
        <w:numPr>
          <w:ilvl w:val="0"/>
          <w:numId w:val="20"/>
        </w:numPr>
        <w:tabs>
          <w:tab w:val="left" w:pos="425"/>
        </w:tabs>
        <w:spacing w:line="360" w:lineRule="auto"/>
        <w:jc w:val="both"/>
        <w:rPr>
          <w:rFonts w:ascii="David" w:hAnsi="David" w:cs="David"/>
          <w:b/>
          <w:bCs/>
          <w:sz w:val="24"/>
          <w:szCs w:val="24"/>
          <w:rtl/>
        </w:rPr>
      </w:pPr>
      <w:r>
        <w:rPr>
          <w:rFonts w:ascii="David" w:hAnsi="David" w:cs="David"/>
          <w:sz w:val="24"/>
          <w:szCs w:val="24"/>
          <w:rtl/>
        </w:rPr>
        <w:t>ואם לא די בכל המפורט מעלה, וגם אם בית המשפט היה מקבל את טענת האשה שעו"ד יאנסון ייצגה רק את הנתבע, אין בכך, בוודאי לא באופן גורף, בכדי להצדיק ביטולו של הסכם ממון. בחירתו של בעל דין שלא לשכור שירותי עו"ד אינן מצדיקים ביטולו של פסק דין</w:t>
      </w:r>
      <w:r>
        <w:rPr>
          <w:rFonts w:ascii="David" w:hAnsi="David" w:cs="David"/>
          <w:b/>
          <w:bCs/>
          <w:sz w:val="24"/>
          <w:szCs w:val="24"/>
          <w:rtl/>
        </w:rPr>
        <w:t>.</w:t>
      </w:r>
      <w:r>
        <w:rPr>
          <w:rFonts w:ascii="David" w:hAnsi="David" w:cs="David"/>
          <w:b/>
          <w:bCs/>
          <w:color w:val="FF0000"/>
          <w:sz w:val="24"/>
          <w:szCs w:val="24"/>
          <w:rtl/>
        </w:rPr>
        <w:t xml:space="preserve"> </w:t>
      </w:r>
      <w:r>
        <w:rPr>
          <w:rFonts w:ascii="David" w:hAnsi="David" w:cs="David"/>
          <w:sz w:val="24"/>
          <w:szCs w:val="24"/>
          <w:rtl/>
        </w:rPr>
        <w:t>בוודאי במקרה דנן, כאשר לתובעת היה קשר עם עורכי דין ממקום עבודתה הקודם, היא ידעה שהנתבע מיוצג, ולא היתה כל מניעה לשכור שירותי עו"ד מטעמה.</w:t>
      </w:r>
      <w:r>
        <w:rPr>
          <w:rFonts w:ascii="David" w:hAnsi="David" w:cs="David"/>
          <w:b/>
          <w:bCs/>
          <w:sz w:val="24"/>
          <w:szCs w:val="24"/>
          <w:rtl/>
        </w:rPr>
        <w:t xml:space="preserve"> </w:t>
      </w:r>
      <w:r>
        <w:rPr>
          <w:rFonts w:ascii="David" w:hAnsi="David" w:cs="David"/>
          <w:sz w:val="24"/>
          <w:szCs w:val="24"/>
          <w:rtl/>
        </w:rPr>
        <w:t xml:space="preserve">תפקידו של בית המשפט אינו לייעץ לבעל הדין העומד בפניו, ואין הוא מחליף ב"כ, תפקידו של בית המשפט, באישורו את ההסכם, הינה לבחון האם בעלי הדין מבינים על מה חתמו, האם עשו זאת מרצון חופשי והאם מבינים את משמעות חתימתם, וכך כאמור בית המשפט עשה. </w:t>
      </w:r>
      <w:r>
        <w:rPr>
          <w:rFonts w:ascii="David" w:hAnsi="David" w:cs="David"/>
          <w:color w:val="000000"/>
          <w:sz w:val="24"/>
          <w:szCs w:val="24"/>
          <w:rtl/>
        </w:rPr>
        <w:t>תמיכה לגישה האמורה, נמצאת בפסק דינו של כבוד השופט שנלר</w:t>
      </w:r>
      <w:r>
        <w:rPr>
          <w:rFonts w:ascii="David" w:hAnsi="David" w:cs="David"/>
          <w:b/>
          <w:bCs/>
          <w:color w:val="000000"/>
          <w:sz w:val="24"/>
          <w:szCs w:val="24"/>
          <w:rtl/>
        </w:rPr>
        <w:t xml:space="preserve"> (בע"מ (ת"א) 1242/04</w:t>
      </w:r>
      <w:r>
        <w:rPr>
          <w:rFonts w:ascii="David" w:hAnsi="David" w:cs="David"/>
          <w:b/>
          <w:bCs/>
          <w:color w:val="000000"/>
          <w:sz w:val="24"/>
          <w:szCs w:val="24"/>
        </w:rPr>
        <w:t>" :</w:t>
      </w:r>
      <w:r>
        <w:rPr>
          <w:rFonts w:ascii="David" w:hAnsi="David" w:cs="David"/>
          <w:b/>
          <w:bCs/>
          <w:color w:val="000000"/>
          <w:sz w:val="24"/>
          <w:szCs w:val="24"/>
          <w:rtl/>
        </w:rPr>
        <w:t>...עם זאת בית המשפט לא יסרב לאשר הסכם אך ורק הואיל ולדעתו קיימים בו תנאים מקפחים. כפי שנאמר בע"א 573/82 ברק נ. ברק ואח' פ"ד לח(4) 626, 632, אפשר שצד, המתקשר בחוזה, מודע לכך, כי ההישגים הם בעיקר לזולתו ובכל זאת מטעמים הרצויים לו הוא מתקשר באותו הסכם. אל לו לבית המשפט להתערב בכגון דא, לעשות הסכמים עבור בעלי הדין שהתקשרו ביניהם או לשפר או לשנות את שנקבע על-ידיהם בהסכם, רק משום שנראה לו לבית המשפט, כי ההסכם, שנכרת מרצונם של בעלי הדין, אינו צודק או שהוא מקפח קיפוח של ממש את אחד המתקשרים</w:t>
      </w:r>
      <w:r>
        <w:rPr>
          <w:rFonts w:ascii="David" w:hAnsi="David" w:cs="David"/>
          <w:b/>
          <w:bCs/>
          <w:color w:val="000000"/>
          <w:sz w:val="24"/>
          <w:szCs w:val="24"/>
        </w:rPr>
        <w:t>."</w:t>
      </w:r>
    </w:p>
    <w:p w:rsidR="000D324B" w:rsidRDefault="000D324B" w:rsidP="006172AD">
      <w:pPr>
        <w:pStyle w:val="ad"/>
        <w:tabs>
          <w:tab w:val="left" w:pos="425"/>
        </w:tabs>
        <w:spacing w:line="240" w:lineRule="auto"/>
        <w:ind w:left="0" w:firstLine="283"/>
        <w:jc w:val="both"/>
        <w:rPr>
          <w:rFonts w:ascii="David" w:hAnsi="David" w:cs="David"/>
          <w:b/>
          <w:bCs/>
          <w:sz w:val="24"/>
          <w:szCs w:val="24"/>
          <w:u w:val="single"/>
        </w:rPr>
      </w:pPr>
    </w:p>
    <w:p w:rsidR="000D324B" w:rsidRDefault="000D324B" w:rsidP="000D324B">
      <w:pPr>
        <w:pStyle w:val="ad"/>
        <w:numPr>
          <w:ilvl w:val="0"/>
          <w:numId w:val="1"/>
        </w:numPr>
        <w:tabs>
          <w:tab w:val="left" w:pos="425"/>
        </w:tabs>
        <w:spacing w:line="360" w:lineRule="auto"/>
        <w:ind w:left="0" w:firstLine="283"/>
        <w:jc w:val="both"/>
        <w:rPr>
          <w:rFonts w:ascii="David" w:hAnsi="David" w:cs="David"/>
          <w:b/>
          <w:bCs/>
          <w:sz w:val="24"/>
          <w:szCs w:val="24"/>
          <w:u w:val="single"/>
        </w:rPr>
      </w:pPr>
      <w:r>
        <w:rPr>
          <w:rFonts w:ascii="David" w:hAnsi="David" w:cs="David"/>
          <w:b/>
          <w:bCs/>
          <w:sz w:val="24"/>
          <w:szCs w:val="24"/>
          <w:u w:val="single"/>
          <w:rtl/>
        </w:rPr>
        <w:t>התובעת לא הוכיחה כי הנתבע הטעה אותה או את בית המשפט במשמעות ההסכם</w:t>
      </w:r>
    </w:p>
    <w:p w:rsidR="000D324B" w:rsidRDefault="000D324B" w:rsidP="00535DB5">
      <w:pPr>
        <w:pStyle w:val="ad"/>
        <w:numPr>
          <w:ilvl w:val="0"/>
          <w:numId w:val="13"/>
        </w:numPr>
        <w:tabs>
          <w:tab w:val="left" w:pos="425"/>
        </w:tabs>
        <w:spacing w:line="360" w:lineRule="auto"/>
        <w:jc w:val="both"/>
        <w:rPr>
          <w:rFonts w:ascii="David" w:hAnsi="David" w:cs="David"/>
          <w:sz w:val="24"/>
          <w:szCs w:val="24"/>
        </w:rPr>
      </w:pPr>
      <w:r>
        <w:rPr>
          <w:rFonts w:ascii="David" w:hAnsi="David" w:cs="David"/>
          <w:sz w:val="24"/>
          <w:szCs w:val="24"/>
          <w:rtl/>
        </w:rPr>
        <w:t>לשיטתה של התובעת, כפי שעולה מעדותה - מטרת ההסכם היתה אחת בלבד והיא לשמור על סך של 393,000 ₪ של הנתבע, שנחסכו על ידו לפני הנישואין</w:t>
      </w:r>
      <w:r w:rsidR="00535DB5">
        <w:rPr>
          <w:rFonts w:ascii="David" w:hAnsi="David" w:cs="David" w:hint="cs"/>
          <w:sz w:val="24"/>
          <w:szCs w:val="24"/>
          <w:rtl/>
        </w:rPr>
        <w:t xml:space="preserve"> </w:t>
      </w:r>
      <w:r w:rsidR="00535DB5" w:rsidRPr="001E0604">
        <w:rPr>
          <w:rFonts w:ascii="David" w:hAnsi="David" w:cs="David" w:hint="cs"/>
          <w:b/>
          <w:bCs/>
          <w:sz w:val="24"/>
          <w:szCs w:val="24"/>
          <w:rtl/>
        </w:rPr>
        <w:t>(</w:t>
      </w:r>
      <w:r w:rsidR="00E23CEC">
        <w:rPr>
          <w:rFonts w:ascii="David" w:hAnsi="David" w:cs="David" w:hint="cs"/>
          <w:sz w:val="24"/>
          <w:szCs w:val="24"/>
          <w:rtl/>
        </w:rPr>
        <w:t xml:space="preserve">ראו: </w:t>
      </w:r>
      <w:r w:rsidR="00535DB5" w:rsidRPr="001E0604">
        <w:rPr>
          <w:rFonts w:ascii="David" w:hAnsi="David" w:cs="David" w:hint="cs"/>
          <w:b/>
          <w:bCs/>
          <w:sz w:val="24"/>
          <w:szCs w:val="24"/>
          <w:rtl/>
        </w:rPr>
        <w:t>פרוטוקול דיון מיום 1.2.2024 עמוד 3</w:t>
      </w:r>
      <w:r w:rsidR="00535DB5">
        <w:rPr>
          <w:rFonts w:ascii="David" w:hAnsi="David" w:cs="David" w:hint="cs"/>
          <w:b/>
          <w:bCs/>
          <w:sz w:val="24"/>
          <w:szCs w:val="24"/>
          <w:rtl/>
        </w:rPr>
        <w:t>1</w:t>
      </w:r>
      <w:r w:rsidR="00535DB5" w:rsidRPr="001E0604">
        <w:rPr>
          <w:rFonts w:ascii="David" w:hAnsi="David" w:cs="David" w:hint="cs"/>
          <w:b/>
          <w:bCs/>
          <w:sz w:val="24"/>
          <w:szCs w:val="24"/>
          <w:rtl/>
        </w:rPr>
        <w:t xml:space="preserve"> שורות </w:t>
      </w:r>
      <w:r w:rsidR="00535DB5">
        <w:rPr>
          <w:rFonts w:ascii="David" w:hAnsi="David" w:cs="David" w:hint="cs"/>
          <w:b/>
          <w:bCs/>
          <w:sz w:val="24"/>
          <w:szCs w:val="24"/>
          <w:rtl/>
        </w:rPr>
        <w:t>4-10</w:t>
      </w:r>
      <w:r w:rsidR="00535DB5" w:rsidRPr="001E0604">
        <w:rPr>
          <w:rFonts w:ascii="David" w:hAnsi="David" w:cs="David" w:hint="cs"/>
          <w:b/>
          <w:bCs/>
          <w:sz w:val="24"/>
          <w:szCs w:val="24"/>
          <w:rtl/>
        </w:rPr>
        <w:t>)</w:t>
      </w:r>
      <w:r>
        <w:rPr>
          <w:rFonts w:ascii="David" w:hAnsi="David" w:cs="David"/>
          <w:sz w:val="24"/>
          <w:szCs w:val="24"/>
          <w:rtl/>
        </w:rPr>
        <w:t xml:space="preserve">. </w:t>
      </w:r>
    </w:p>
    <w:p w:rsidR="000D324B" w:rsidRDefault="000D324B" w:rsidP="00380A65">
      <w:pPr>
        <w:pStyle w:val="ad"/>
        <w:numPr>
          <w:ilvl w:val="0"/>
          <w:numId w:val="13"/>
        </w:numPr>
        <w:tabs>
          <w:tab w:val="left" w:pos="425"/>
        </w:tabs>
        <w:spacing w:line="360" w:lineRule="auto"/>
        <w:jc w:val="both"/>
        <w:rPr>
          <w:rFonts w:ascii="David" w:hAnsi="David" w:cs="David"/>
          <w:sz w:val="24"/>
          <w:szCs w:val="24"/>
        </w:rPr>
      </w:pPr>
      <w:r>
        <w:rPr>
          <w:rFonts w:ascii="David" w:hAnsi="David" w:cs="David"/>
          <w:sz w:val="24"/>
          <w:szCs w:val="24"/>
          <w:rtl/>
        </w:rPr>
        <w:t>התובעת נשאלה בענין זה מספר שאלות, ואף לא אחת מתשובותיה תמכו בטענה זו.</w:t>
      </w:r>
    </w:p>
    <w:p w:rsidR="000D324B" w:rsidRDefault="000D324B" w:rsidP="00185D33">
      <w:pPr>
        <w:pStyle w:val="ad"/>
        <w:numPr>
          <w:ilvl w:val="0"/>
          <w:numId w:val="13"/>
        </w:numPr>
        <w:tabs>
          <w:tab w:val="left" w:pos="425"/>
        </w:tabs>
        <w:spacing w:line="360" w:lineRule="auto"/>
        <w:jc w:val="both"/>
        <w:rPr>
          <w:rFonts w:ascii="David" w:hAnsi="David" w:cs="David"/>
          <w:sz w:val="24"/>
          <w:szCs w:val="24"/>
        </w:rPr>
      </w:pPr>
      <w:r>
        <w:rPr>
          <w:rFonts w:ascii="David" w:hAnsi="David" w:cs="David"/>
          <w:sz w:val="24"/>
          <w:szCs w:val="24"/>
          <w:rtl/>
        </w:rPr>
        <w:t>כך למשל נשאלה התובעת לו היתה מטרה אחת להסכם, לשמור על סכום כספי, מדוע היה סעיף בהסכם הק</w:t>
      </w:r>
      <w:r w:rsidR="00535DB5">
        <w:rPr>
          <w:rFonts w:ascii="David" w:hAnsi="David" w:cs="David"/>
          <w:sz w:val="24"/>
          <w:szCs w:val="24"/>
          <w:rtl/>
        </w:rPr>
        <w:t xml:space="preserve">שור </w:t>
      </w:r>
      <w:r w:rsidR="00FA6970">
        <w:rPr>
          <w:rFonts w:ascii="David" w:hAnsi="David" w:cs="David" w:hint="cs"/>
          <w:sz w:val="24"/>
          <w:szCs w:val="24"/>
          <w:rtl/>
        </w:rPr>
        <w:t>לנדל"ן</w:t>
      </w:r>
      <w:r w:rsidR="00535DB5">
        <w:rPr>
          <w:rFonts w:ascii="David" w:hAnsi="David" w:cs="David"/>
          <w:sz w:val="24"/>
          <w:szCs w:val="24"/>
          <w:rtl/>
        </w:rPr>
        <w:t>? לשאלה זו ענתה התובעת</w:t>
      </w:r>
      <w:r w:rsidR="00535DB5">
        <w:rPr>
          <w:rFonts w:ascii="David" w:hAnsi="David" w:cs="David" w:hint="cs"/>
          <w:sz w:val="24"/>
          <w:szCs w:val="24"/>
          <w:rtl/>
        </w:rPr>
        <w:t xml:space="preserve"> תשובה לא משכנעת "</w:t>
      </w:r>
      <w:r w:rsidR="00535DB5" w:rsidRPr="00E23CEC">
        <w:rPr>
          <w:rFonts w:ascii="David" w:hAnsi="David" w:cs="David" w:hint="cs"/>
          <w:b/>
          <w:bCs/>
          <w:sz w:val="24"/>
          <w:szCs w:val="24"/>
          <w:rtl/>
        </w:rPr>
        <w:t>לא חשבתי שהוא משקר לי</w:t>
      </w:r>
      <w:r w:rsidR="00535DB5">
        <w:rPr>
          <w:rFonts w:ascii="David" w:hAnsi="David" w:cs="David" w:hint="cs"/>
          <w:sz w:val="24"/>
          <w:szCs w:val="24"/>
          <w:rtl/>
        </w:rPr>
        <w:t xml:space="preserve">" </w:t>
      </w:r>
      <w:r w:rsidR="00535DB5" w:rsidRPr="001E0604">
        <w:rPr>
          <w:rFonts w:ascii="David" w:hAnsi="David" w:cs="David" w:hint="cs"/>
          <w:b/>
          <w:bCs/>
          <w:sz w:val="24"/>
          <w:szCs w:val="24"/>
          <w:rtl/>
        </w:rPr>
        <w:t>(</w:t>
      </w:r>
      <w:r w:rsidR="00E23CEC">
        <w:rPr>
          <w:rFonts w:ascii="David" w:hAnsi="David" w:cs="David" w:hint="cs"/>
          <w:sz w:val="24"/>
          <w:szCs w:val="24"/>
          <w:rtl/>
        </w:rPr>
        <w:t xml:space="preserve">ראו: </w:t>
      </w:r>
      <w:r w:rsidR="00535DB5" w:rsidRPr="001E0604">
        <w:rPr>
          <w:rFonts w:ascii="David" w:hAnsi="David" w:cs="David" w:hint="cs"/>
          <w:b/>
          <w:bCs/>
          <w:sz w:val="24"/>
          <w:szCs w:val="24"/>
          <w:rtl/>
        </w:rPr>
        <w:t xml:space="preserve">פרוטוקול דיון מיום 1.2.2024 עמוד </w:t>
      </w:r>
      <w:r w:rsidR="00535DB5">
        <w:rPr>
          <w:rFonts w:ascii="David" w:hAnsi="David" w:cs="David" w:hint="cs"/>
          <w:b/>
          <w:bCs/>
          <w:sz w:val="24"/>
          <w:szCs w:val="24"/>
          <w:rtl/>
        </w:rPr>
        <w:t>80</w:t>
      </w:r>
      <w:r w:rsidR="00535DB5" w:rsidRPr="001E0604">
        <w:rPr>
          <w:rFonts w:ascii="David" w:hAnsi="David" w:cs="David" w:hint="cs"/>
          <w:b/>
          <w:bCs/>
          <w:sz w:val="24"/>
          <w:szCs w:val="24"/>
          <w:rtl/>
        </w:rPr>
        <w:t xml:space="preserve"> שורות </w:t>
      </w:r>
      <w:r w:rsidR="00185D33">
        <w:rPr>
          <w:rFonts w:ascii="David" w:hAnsi="David" w:cs="David" w:hint="cs"/>
          <w:b/>
          <w:bCs/>
          <w:sz w:val="24"/>
          <w:szCs w:val="24"/>
          <w:rtl/>
        </w:rPr>
        <w:t>17-22</w:t>
      </w:r>
      <w:r w:rsidR="00535DB5" w:rsidRPr="001E0604">
        <w:rPr>
          <w:rFonts w:ascii="David" w:hAnsi="David" w:cs="David" w:hint="cs"/>
          <w:b/>
          <w:bCs/>
          <w:sz w:val="24"/>
          <w:szCs w:val="24"/>
          <w:rtl/>
        </w:rPr>
        <w:t>)</w:t>
      </w:r>
      <w:r>
        <w:rPr>
          <w:rFonts w:ascii="David" w:hAnsi="David" w:cs="David"/>
          <w:sz w:val="24"/>
          <w:szCs w:val="24"/>
          <w:rtl/>
        </w:rPr>
        <w:t>.</w:t>
      </w:r>
    </w:p>
    <w:p w:rsidR="000D324B" w:rsidRDefault="000D324B" w:rsidP="00ED69B5">
      <w:pPr>
        <w:pStyle w:val="ad"/>
        <w:numPr>
          <w:ilvl w:val="0"/>
          <w:numId w:val="13"/>
        </w:numPr>
        <w:tabs>
          <w:tab w:val="left" w:pos="425"/>
        </w:tabs>
        <w:spacing w:line="360" w:lineRule="auto"/>
        <w:jc w:val="both"/>
        <w:rPr>
          <w:rFonts w:ascii="David" w:hAnsi="David" w:cs="David"/>
          <w:sz w:val="24"/>
          <w:szCs w:val="24"/>
        </w:rPr>
      </w:pPr>
      <w:r>
        <w:rPr>
          <w:rFonts w:ascii="David" w:hAnsi="David" w:cs="David"/>
          <w:sz w:val="24"/>
          <w:szCs w:val="24"/>
          <w:rtl/>
        </w:rPr>
        <w:t xml:space="preserve">התובעת טענה כי לא יכול להיות שכוונת ההסכם היתה על דירה שירכשו הצדדים, כי גם היא השקיעה כספים שהיו לה, אולם טענה זו, לגבי השקעות כספים של התובעת לא הוכחו. ואף להיפך, התובעת העידה כי כל הכספים ששולמו לרכישת דירת המגורים, </w:t>
      </w:r>
      <w:r>
        <w:rPr>
          <w:rFonts w:ascii="David" w:hAnsi="David" w:cs="David"/>
          <w:sz w:val="24"/>
          <w:szCs w:val="24"/>
          <w:rtl/>
        </w:rPr>
        <w:lastRenderedPageBreak/>
        <w:t xml:space="preserve">בעלות של 1,475,000 ₪, פרט למשכנתא בסך 600,000, שהיוותה 40% משווי דירת המגורים, שולמו או מכספי הנתבע (סך של 393,000 ₪), או על ידי הוריו (סך של 300,000 ₪), או מחשבון הבנק של הנתבע (סך של 175,000 ₪), ואף הוסיפה והעידה כי לא הועברו כספים מחשבון הבנק שלה לחשבון הבנק של הנתבע, </w:t>
      </w:r>
      <w:r w:rsidR="00FD282C">
        <w:rPr>
          <w:rFonts w:ascii="David" w:hAnsi="David" w:cs="David" w:hint="cs"/>
          <w:sz w:val="24"/>
          <w:szCs w:val="24"/>
          <w:rtl/>
        </w:rPr>
        <w:t xml:space="preserve">וכי לא היה בידה הון עצמי גדול משלה, </w:t>
      </w:r>
      <w:r>
        <w:rPr>
          <w:rFonts w:ascii="David" w:hAnsi="David" w:cs="David"/>
          <w:sz w:val="24"/>
          <w:szCs w:val="24"/>
          <w:rtl/>
        </w:rPr>
        <w:t>רק שטענה כי מאחר וניהלו חיים משותפים, הכספים שהיו בחשבון הבנק של הנתבע הם משותפים</w:t>
      </w:r>
      <w:r w:rsidR="00FD282C">
        <w:rPr>
          <w:rFonts w:ascii="David" w:hAnsi="David" w:cs="David" w:hint="cs"/>
          <w:sz w:val="24"/>
          <w:szCs w:val="24"/>
          <w:rtl/>
        </w:rPr>
        <w:t xml:space="preserve"> </w:t>
      </w:r>
      <w:r w:rsidR="00FD282C" w:rsidRPr="00185D33">
        <w:rPr>
          <w:rFonts w:ascii="David" w:hAnsi="David" w:cs="David" w:hint="cs"/>
          <w:b/>
          <w:bCs/>
          <w:sz w:val="24"/>
          <w:szCs w:val="24"/>
          <w:rtl/>
        </w:rPr>
        <w:t>(</w:t>
      </w:r>
      <w:r w:rsidR="00F43B6A">
        <w:rPr>
          <w:rFonts w:ascii="David" w:hAnsi="David" w:cs="David" w:hint="cs"/>
          <w:sz w:val="24"/>
          <w:szCs w:val="24"/>
          <w:rtl/>
        </w:rPr>
        <w:t xml:space="preserve">ראו: </w:t>
      </w:r>
      <w:r w:rsidR="00FD282C" w:rsidRPr="00185D33">
        <w:rPr>
          <w:rFonts w:ascii="David" w:hAnsi="David" w:cs="David" w:hint="cs"/>
          <w:b/>
          <w:bCs/>
          <w:sz w:val="24"/>
          <w:szCs w:val="24"/>
          <w:rtl/>
        </w:rPr>
        <w:t>פרוטוקול דיון מיום 1.2.2024 עמוד 27 שורות 24-32)</w:t>
      </w:r>
      <w:r w:rsidR="00FD282C" w:rsidRPr="00185D33">
        <w:rPr>
          <w:rFonts w:ascii="David" w:hAnsi="David" w:cs="David"/>
          <w:b/>
          <w:bCs/>
          <w:sz w:val="24"/>
          <w:szCs w:val="24"/>
          <w:rtl/>
        </w:rPr>
        <w:t>.</w:t>
      </w:r>
      <w:r w:rsidRPr="00185D33">
        <w:rPr>
          <w:rFonts w:ascii="David" w:hAnsi="David" w:cs="David"/>
          <w:b/>
          <w:bCs/>
          <w:sz w:val="24"/>
          <w:szCs w:val="24"/>
          <w:rtl/>
        </w:rPr>
        <w:t>.</w:t>
      </w:r>
    </w:p>
    <w:p w:rsidR="000D324B" w:rsidRDefault="000D324B" w:rsidP="00380A65">
      <w:pPr>
        <w:pStyle w:val="ad"/>
        <w:numPr>
          <w:ilvl w:val="0"/>
          <w:numId w:val="13"/>
        </w:numPr>
        <w:tabs>
          <w:tab w:val="left" w:pos="425"/>
        </w:tabs>
        <w:spacing w:line="360" w:lineRule="auto"/>
        <w:jc w:val="both"/>
        <w:rPr>
          <w:rFonts w:ascii="David" w:hAnsi="David" w:cs="David"/>
          <w:sz w:val="24"/>
          <w:szCs w:val="24"/>
        </w:rPr>
      </w:pPr>
      <w:r>
        <w:rPr>
          <w:rFonts w:ascii="David" w:hAnsi="David" w:cs="David"/>
          <w:sz w:val="24"/>
          <w:szCs w:val="24"/>
          <w:rtl/>
        </w:rPr>
        <w:t>לטענת התובעת לא היתה מסכימה לחתום על הסכם שמנשל אותה ומשאיר אותה ללא כלום. לא ניתן לומר כי טענה זו אינה הגיונית. יחד עם זאת, אנשים בגירים רשאים לחתום על הסכמים, שלא תמיד הגיוניים, מסיבות אחרות ושיקולים אחרים, בוודאי בין בני זוג, כאשר בנוסף להגיון קיים גם רגש, אשר מביאים אותם להחלטה זו.</w:t>
      </w:r>
    </w:p>
    <w:p w:rsidR="00185D33" w:rsidRDefault="000D324B" w:rsidP="002F628F">
      <w:pPr>
        <w:pStyle w:val="ad"/>
        <w:numPr>
          <w:ilvl w:val="0"/>
          <w:numId w:val="13"/>
        </w:numPr>
        <w:tabs>
          <w:tab w:val="left" w:pos="425"/>
        </w:tabs>
        <w:spacing w:line="360" w:lineRule="auto"/>
        <w:jc w:val="both"/>
        <w:rPr>
          <w:rFonts w:ascii="David" w:hAnsi="David" w:cs="David"/>
          <w:sz w:val="24"/>
          <w:szCs w:val="24"/>
        </w:rPr>
      </w:pPr>
      <w:r w:rsidRPr="00185D33">
        <w:rPr>
          <w:rFonts w:ascii="David" w:hAnsi="David" w:cs="David"/>
          <w:sz w:val="24"/>
          <w:szCs w:val="24"/>
          <w:rtl/>
        </w:rPr>
        <w:t xml:space="preserve">לטענת התובעת לא היתה חותמת על הסכם שקובע כי היא משלמת עם הנתבע את המשכנתא ובכל זאת אין לה שום זכות בדירה. גם טענה זו </w:t>
      </w:r>
      <w:r w:rsidR="00FD62EA">
        <w:rPr>
          <w:rFonts w:ascii="David" w:hAnsi="David" w:cs="David" w:hint="cs"/>
          <w:sz w:val="24"/>
          <w:szCs w:val="24"/>
          <w:rtl/>
        </w:rPr>
        <w:t xml:space="preserve">יכולה להיות </w:t>
      </w:r>
      <w:r w:rsidRPr="00185D33">
        <w:rPr>
          <w:rFonts w:ascii="David" w:hAnsi="David" w:cs="David"/>
          <w:sz w:val="24"/>
          <w:szCs w:val="24"/>
          <w:rtl/>
        </w:rPr>
        <w:t>הגיונית. יחד עם זאת טענת הנתבע לפיה התובעת כל כך רצתה מקום מגורים קבוע ותנאי מחיה טובים ולאחר שהבינה שהדרך היחידה לזכות בכך הינה חתימה על הסכם ממון</w:t>
      </w:r>
      <w:r w:rsidR="00185D33" w:rsidRPr="00185D33">
        <w:rPr>
          <w:rFonts w:ascii="David" w:hAnsi="David" w:cs="David" w:hint="cs"/>
          <w:sz w:val="24"/>
          <w:szCs w:val="24"/>
          <w:rtl/>
        </w:rPr>
        <w:t>,</w:t>
      </w:r>
      <w:r w:rsidRPr="00185D33">
        <w:rPr>
          <w:rFonts w:ascii="David" w:hAnsi="David" w:cs="David"/>
          <w:sz w:val="24"/>
          <w:szCs w:val="24"/>
          <w:rtl/>
        </w:rPr>
        <w:t xml:space="preserve"> על פי התנאים המפורטים בהסכם נשוא פסק דין זה, גם כן הגיונית.  </w:t>
      </w:r>
    </w:p>
    <w:p w:rsidR="000D324B" w:rsidRPr="00185D33" w:rsidRDefault="000D324B" w:rsidP="00185D33">
      <w:pPr>
        <w:pStyle w:val="ad"/>
        <w:numPr>
          <w:ilvl w:val="0"/>
          <w:numId w:val="13"/>
        </w:numPr>
        <w:tabs>
          <w:tab w:val="left" w:pos="425"/>
        </w:tabs>
        <w:spacing w:line="360" w:lineRule="auto"/>
        <w:jc w:val="both"/>
        <w:rPr>
          <w:rFonts w:ascii="David" w:hAnsi="David" w:cs="David"/>
          <w:sz w:val="24"/>
          <w:szCs w:val="24"/>
        </w:rPr>
      </w:pPr>
      <w:r w:rsidRPr="00185D33">
        <w:rPr>
          <w:rFonts w:ascii="David" w:hAnsi="David" w:cs="David"/>
          <w:sz w:val="24"/>
          <w:szCs w:val="24"/>
          <w:rtl/>
        </w:rPr>
        <w:t xml:space="preserve">התובעת טענה כי חשבה שחותמת על </w:t>
      </w:r>
      <w:r w:rsidR="00FA6970" w:rsidRPr="00185D33">
        <w:rPr>
          <w:rFonts w:ascii="David" w:hAnsi="David" w:cs="David" w:hint="cs"/>
          <w:sz w:val="24"/>
          <w:szCs w:val="24"/>
          <w:rtl/>
        </w:rPr>
        <w:t>הטיוטה</w:t>
      </w:r>
      <w:r w:rsidRPr="00185D33">
        <w:rPr>
          <w:rFonts w:ascii="David" w:hAnsi="David" w:cs="David"/>
          <w:sz w:val="24"/>
          <w:szCs w:val="24"/>
          <w:rtl/>
        </w:rPr>
        <w:t xml:space="preserve"> </w:t>
      </w:r>
      <w:r w:rsidR="00185D33" w:rsidRPr="001E0604">
        <w:rPr>
          <w:rFonts w:ascii="David" w:hAnsi="David" w:cs="David" w:hint="cs"/>
          <w:b/>
          <w:bCs/>
          <w:sz w:val="24"/>
          <w:szCs w:val="24"/>
          <w:rtl/>
        </w:rPr>
        <w:t>(</w:t>
      </w:r>
      <w:r w:rsidR="00F43B6A">
        <w:rPr>
          <w:rFonts w:ascii="David" w:hAnsi="David" w:cs="David" w:hint="cs"/>
          <w:sz w:val="24"/>
          <w:szCs w:val="24"/>
          <w:rtl/>
        </w:rPr>
        <w:t xml:space="preserve">ראו: </w:t>
      </w:r>
      <w:r w:rsidR="00185D33" w:rsidRPr="001E0604">
        <w:rPr>
          <w:rFonts w:ascii="David" w:hAnsi="David" w:cs="David" w:hint="cs"/>
          <w:b/>
          <w:bCs/>
          <w:sz w:val="24"/>
          <w:szCs w:val="24"/>
          <w:rtl/>
        </w:rPr>
        <w:t xml:space="preserve">פרוטוקול דיון מיום 1.2.2024 עמוד </w:t>
      </w:r>
      <w:r w:rsidR="00185D33">
        <w:rPr>
          <w:rFonts w:ascii="David" w:hAnsi="David" w:cs="David" w:hint="cs"/>
          <w:b/>
          <w:bCs/>
          <w:sz w:val="24"/>
          <w:szCs w:val="24"/>
          <w:rtl/>
        </w:rPr>
        <w:t>66</w:t>
      </w:r>
      <w:r w:rsidR="00185D33" w:rsidRPr="001E0604">
        <w:rPr>
          <w:rFonts w:ascii="David" w:hAnsi="David" w:cs="David" w:hint="cs"/>
          <w:b/>
          <w:bCs/>
          <w:sz w:val="24"/>
          <w:szCs w:val="24"/>
          <w:rtl/>
        </w:rPr>
        <w:t xml:space="preserve"> שורות </w:t>
      </w:r>
      <w:r w:rsidR="00185D33">
        <w:rPr>
          <w:rFonts w:ascii="David" w:hAnsi="David" w:cs="David" w:hint="cs"/>
          <w:b/>
          <w:bCs/>
          <w:sz w:val="24"/>
          <w:szCs w:val="24"/>
          <w:rtl/>
        </w:rPr>
        <w:t>23-24</w:t>
      </w:r>
      <w:r w:rsidR="00185D33" w:rsidRPr="001E0604">
        <w:rPr>
          <w:rFonts w:ascii="David" w:hAnsi="David" w:cs="David" w:hint="cs"/>
          <w:b/>
          <w:bCs/>
          <w:sz w:val="24"/>
          <w:szCs w:val="24"/>
          <w:rtl/>
        </w:rPr>
        <w:t>)</w:t>
      </w:r>
      <w:r w:rsidR="00185D33">
        <w:rPr>
          <w:rFonts w:ascii="David" w:hAnsi="David" w:cs="David" w:hint="cs"/>
          <w:b/>
          <w:bCs/>
          <w:sz w:val="24"/>
          <w:szCs w:val="24"/>
          <w:rtl/>
        </w:rPr>
        <w:t xml:space="preserve"> </w:t>
      </w:r>
      <w:r w:rsidRPr="00185D33">
        <w:rPr>
          <w:rFonts w:ascii="David" w:hAnsi="David" w:cs="David"/>
          <w:sz w:val="24"/>
          <w:szCs w:val="24"/>
          <w:rtl/>
        </w:rPr>
        <w:t xml:space="preserve">– גם אם בית המשפט יקבל טענה זו, לא הבהירה התובעת מדוע חשבה כך? ומדוע חתמה על </w:t>
      </w:r>
      <w:r w:rsidR="00FA6970" w:rsidRPr="00185D33">
        <w:rPr>
          <w:rFonts w:ascii="David" w:hAnsi="David" w:cs="David" w:hint="cs"/>
          <w:sz w:val="24"/>
          <w:szCs w:val="24"/>
          <w:rtl/>
        </w:rPr>
        <w:t>טיוטה</w:t>
      </w:r>
      <w:r w:rsidRPr="00185D33">
        <w:rPr>
          <w:rFonts w:ascii="David" w:hAnsi="David" w:cs="David"/>
          <w:sz w:val="24"/>
          <w:szCs w:val="24"/>
          <w:rtl/>
        </w:rPr>
        <w:t xml:space="preserve">? יתר על כן, גם </w:t>
      </w:r>
      <w:r w:rsidR="00FA6970" w:rsidRPr="00185D33">
        <w:rPr>
          <w:rFonts w:ascii="David" w:hAnsi="David" w:cs="David" w:hint="cs"/>
          <w:sz w:val="24"/>
          <w:szCs w:val="24"/>
          <w:rtl/>
        </w:rPr>
        <w:t>בטיוטה</w:t>
      </w:r>
      <w:r w:rsidRPr="00185D33">
        <w:rPr>
          <w:rFonts w:ascii="David" w:hAnsi="David" w:cs="David"/>
          <w:sz w:val="24"/>
          <w:szCs w:val="24"/>
          <w:rtl/>
        </w:rPr>
        <w:t xml:space="preserve"> לא מדובר רק על 393,000 ₪, </w:t>
      </w:r>
      <w:r w:rsidR="00185D33">
        <w:rPr>
          <w:rFonts w:ascii="David" w:hAnsi="David" w:cs="David" w:hint="cs"/>
          <w:sz w:val="24"/>
          <w:szCs w:val="24"/>
          <w:rtl/>
        </w:rPr>
        <w:t xml:space="preserve">והיא כוללת סעיפים נוספים. </w:t>
      </w:r>
      <w:r w:rsidRPr="00185D33">
        <w:rPr>
          <w:rFonts w:ascii="David" w:hAnsi="David" w:cs="David"/>
          <w:sz w:val="24"/>
          <w:szCs w:val="24"/>
          <w:rtl/>
        </w:rPr>
        <w:t xml:space="preserve">בטענה זו למעשה נשמטת טענת התובעת לפיה "הייתי בטוחה שאני חותמת רק על 393,000 ₪". </w:t>
      </w:r>
    </w:p>
    <w:p w:rsidR="000D324B" w:rsidRPr="008D51C6" w:rsidRDefault="000D324B" w:rsidP="008D51C6">
      <w:pPr>
        <w:pStyle w:val="ad"/>
        <w:numPr>
          <w:ilvl w:val="0"/>
          <w:numId w:val="13"/>
        </w:numPr>
        <w:tabs>
          <w:tab w:val="left" w:pos="425"/>
        </w:tabs>
        <w:spacing w:line="360" w:lineRule="auto"/>
        <w:jc w:val="both"/>
        <w:rPr>
          <w:rFonts w:ascii="David" w:hAnsi="David" w:cs="David"/>
          <w:sz w:val="24"/>
          <w:szCs w:val="24"/>
        </w:rPr>
      </w:pPr>
      <w:r>
        <w:rPr>
          <w:rFonts w:ascii="David" w:hAnsi="David" w:cs="David"/>
          <w:sz w:val="24"/>
          <w:szCs w:val="24"/>
          <w:rtl/>
        </w:rPr>
        <w:t>זאת ועוד, התובעת נשאלה לענין ההבדל שבין מספר הסעיפים המופיעים בהסכם הממון לבין</w:t>
      </w:r>
      <w:r w:rsidR="00ED69B5">
        <w:rPr>
          <w:rFonts w:ascii="David" w:hAnsi="David" w:cs="David"/>
          <w:sz w:val="24"/>
          <w:szCs w:val="24"/>
          <w:rtl/>
        </w:rPr>
        <w:t xml:space="preserve"> מספר הסעיפים המופיעים </w:t>
      </w:r>
      <w:r w:rsidR="00FA6970">
        <w:rPr>
          <w:rFonts w:ascii="David" w:hAnsi="David" w:cs="David" w:hint="cs"/>
          <w:sz w:val="24"/>
          <w:szCs w:val="24"/>
          <w:rtl/>
        </w:rPr>
        <w:t>בטיוטה</w:t>
      </w:r>
      <w:r w:rsidR="00ED69B5">
        <w:rPr>
          <w:rFonts w:ascii="David" w:hAnsi="David" w:cs="David"/>
          <w:sz w:val="24"/>
          <w:szCs w:val="24"/>
          <w:rtl/>
        </w:rPr>
        <w:t xml:space="preserve">, </w:t>
      </w:r>
      <w:r>
        <w:rPr>
          <w:rFonts w:ascii="David" w:hAnsi="David" w:cs="David"/>
          <w:sz w:val="24"/>
          <w:szCs w:val="24"/>
          <w:rtl/>
        </w:rPr>
        <w:t xml:space="preserve">וגם אם לא קראה את ההסכם כולו, האם לא שמה לב שמדובר בהסכם קצר יותר, ולאן נעלמו סעיפים מס' 7 ו- 8? גם לשאלה זו ענתה התובעת באותו המטבע </w:t>
      </w:r>
      <w:r w:rsidR="008D51C6">
        <w:rPr>
          <w:rFonts w:ascii="David" w:hAnsi="David" w:cs="David" w:hint="cs"/>
          <w:sz w:val="24"/>
          <w:szCs w:val="24"/>
          <w:rtl/>
        </w:rPr>
        <w:t xml:space="preserve">שסמכה על הנתבע והאמינה בו. </w:t>
      </w:r>
      <w:r w:rsidRPr="008D51C6">
        <w:rPr>
          <w:rFonts w:ascii="David" w:hAnsi="David" w:cs="David"/>
          <w:sz w:val="24"/>
          <w:szCs w:val="24"/>
          <w:rtl/>
        </w:rPr>
        <w:t xml:space="preserve">התובעת גם נשאלה, אם חשבת שאת חותמת על </w:t>
      </w:r>
      <w:r w:rsidR="00FA6970" w:rsidRPr="008D51C6">
        <w:rPr>
          <w:rFonts w:ascii="David" w:hAnsi="David" w:cs="David" w:hint="cs"/>
          <w:sz w:val="24"/>
          <w:szCs w:val="24"/>
          <w:rtl/>
        </w:rPr>
        <w:t>הטיוטה</w:t>
      </w:r>
      <w:r w:rsidRPr="008D51C6">
        <w:rPr>
          <w:rFonts w:ascii="David" w:hAnsi="David" w:cs="David"/>
          <w:sz w:val="24"/>
          <w:szCs w:val="24"/>
          <w:rtl/>
        </w:rPr>
        <w:t xml:space="preserve">, איך את מסבירה את זה שגם </w:t>
      </w:r>
      <w:r w:rsidR="00FA6970" w:rsidRPr="008D51C6">
        <w:rPr>
          <w:rFonts w:ascii="David" w:hAnsi="David" w:cs="David" w:hint="cs"/>
          <w:sz w:val="24"/>
          <w:szCs w:val="24"/>
          <w:rtl/>
        </w:rPr>
        <w:t>בטיוטה</w:t>
      </w:r>
      <w:r w:rsidRPr="008D51C6">
        <w:rPr>
          <w:rFonts w:ascii="David" w:hAnsi="David" w:cs="David"/>
          <w:sz w:val="24"/>
          <w:szCs w:val="24"/>
          <w:rtl/>
        </w:rPr>
        <w:t xml:space="preserve"> יש את אותו סעיף 6 של החרגת הדירה, ותשובתה היתה – יש גם את סעיף 8 שקובע שהכל משותף </w:t>
      </w:r>
      <w:r w:rsidR="00BB35A6" w:rsidRPr="008D51C6">
        <w:rPr>
          <w:rFonts w:ascii="David" w:hAnsi="David" w:cs="David" w:hint="cs"/>
          <w:b/>
          <w:bCs/>
          <w:sz w:val="24"/>
          <w:szCs w:val="24"/>
          <w:rtl/>
        </w:rPr>
        <w:t>(</w:t>
      </w:r>
      <w:r w:rsidR="00770BFE" w:rsidRPr="008D51C6">
        <w:rPr>
          <w:rFonts w:ascii="David" w:hAnsi="David" w:cs="David" w:hint="cs"/>
          <w:sz w:val="24"/>
          <w:szCs w:val="24"/>
          <w:rtl/>
        </w:rPr>
        <w:t xml:space="preserve">ראו: </w:t>
      </w:r>
      <w:r w:rsidR="00BB35A6" w:rsidRPr="008D51C6">
        <w:rPr>
          <w:rFonts w:ascii="David" w:hAnsi="David" w:cs="David" w:hint="cs"/>
          <w:b/>
          <w:bCs/>
          <w:sz w:val="24"/>
          <w:szCs w:val="24"/>
          <w:rtl/>
        </w:rPr>
        <w:t xml:space="preserve">פרוטוקול דיון מיום 1.2.2024 עמוד 61 שורות 31-36 ועמוד 62 שורות 1-16) </w:t>
      </w:r>
      <w:r w:rsidRPr="008D51C6">
        <w:rPr>
          <w:rFonts w:ascii="David" w:hAnsi="David" w:cs="David"/>
          <w:sz w:val="24"/>
          <w:szCs w:val="24"/>
          <w:rtl/>
        </w:rPr>
        <w:t xml:space="preserve">– הנה כי כן התובעת מבינה היטב את ההסכם, ואת ההבדל בין סעיף 6 לסעיף 8. בכל מקרה מאחר ומדובר בסעיפים מנוגדים, ומדובר רק </w:t>
      </w:r>
      <w:r w:rsidR="00FA6970" w:rsidRPr="008D51C6">
        <w:rPr>
          <w:rFonts w:ascii="David" w:hAnsi="David" w:cs="David" w:hint="cs"/>
          <w:sz w:val="24"/>
          <w:szCs w:val="24"/>
          <w:rtl/>
        </w:rPr>
        <w:t>בטיוטה</w:t>
      </w:r>
      <w:r w:rsidRPr="008D51C6">
        <w:rPr>
          <w:rFonts w:ascii="David" w:hAnsi="David" w:cs="David"/>
          <w:sz w:val="24"/>
          <w:szCs w:val="24"/>
          <w:rtl/>
        </w:rPr>
        <w:t>, הגיוני שהנוסח הסופי יכלול רק את אחד מהם</w:t>
      </w:r>
      <w:r w:rsidRPr="008D51C6">
        <w:rPr>
          <w:rFonts w:ascii="David" w:hAnsi="David" w:cs="David"/>
          <w:b/>
          <w:bCs/>
          <w:sz w:val="24"/>
          <w:szCs w:val="24"/>
          <w:rtl/>
        </w:rPr>
        <w:t>.</w:t>
      </w:r>
    </w:p>
    <w:p w:rsidR="000D324B" w:rsidRDefault="000D324B" w:rsidP="008D51C6">
      <w:pPr>
        <w:pStyle w:val="ad"/>
        <w:numPr>
          <w:ilvl w:val="0"/>
          <w:numId w:val="13"/>
        </w:numPr>
        <w:tabs>
          <w:tab w:val="left" w:pos="425"/>
        </w:tabs>
        <w:spacing w:line="360" w:lineRule="auto"/>
        <w:jc w:val="both"/>
        <w:rPr>
          <w:rFonts w:ascii="David" w:hAnsi="David" w:cs="David"/>
          <w:sz w:val="24"/>
          <w:szCs w:val="24"/>
        </w:rPr>
      </w:pPr>
      <w:r>
        <w:rPr>
          <w:rFonts w:ascii="David" w:hAnsi="David" w:cs="David"/>
          <w:sz w:val="24"/>
          <w:szCs w:val="24"/>
          <w:rtl/>
        </w:rPr>
        <w:t>התובעת</w:t>
      </w:r>
      <w:r>
        <w:rPr>
          <w:rFonts w:ascii="David" w:hAnsi="David" w:cs="David"/>
          <w:b/>
          <w:bCs/>
          <w:sz w:val="24"/>
          <w:szCs w:val="24"/>
          <w:rtl/>
        </w:rPr>
        <w:t xml:space="preserve"> </w:t>
      </w:r>
      <w:r>
        <w:rPr>
          <w:rFonts w:ascii="David" w:hAnsi="David" w:cs="David"/>
          <w:sz w:val="24"/>
          <w:szCs w:val="24"/>
          <w:rtl/>
        </w:rPr>
        <w:t>נשאלה, אם לא ידע</w:t>
      </w:r>
      <w:r w:rsidR="008D51C6">
        <w:rPr>
          <w:rFonts w:ascii="David" w:hAnsi="David" w:cs="David" w:hint="cs"/>
          <w:sz w:val="24"/>
          <w:szCs w:val="24"/>
          <w:rtl/>
        </w:rPr>
        <w:t>ה</w:t>
      </w:r>
      <w:r>
        <w:rPr>
          <w:rFonts w:ascii="David" w:hAnsi="David" w:cs="David"/>
          <w:sz w:val="24"/>
          <w:szCs w:val="24"/>
          <w:rtl/>
        </w:rPr>
        <w:t xml:space="preserve"> על מה חותמת ו/או לא בדק</w:t>
      </w:r>
      <w:r w:rsidR="008D51C6">
        <w:rPr>
          <w:rFonts w:ascii="David" w:hAnsi="David" w:cs="David" w:hint="cs"/>
          <w:sz w:val="24"/>
          <w:szCs w:val="24"/>
          <w:rtl/>
        </w:rPr>
        <w:t>ה על מה חותמת</w:t>
      </w:r>
      <w:r>
        <w:rPr>
          <w:rFonts w:ascii="David" w:hAnsi="David" w:cs="David"/>
          <w:sz w:val="24"/>
          <w:szCs w:val="24"/>
          <w:rtl/>
        </w:rPr>
        <w:t xml:space="preserve">, מדוע התשובות של הנתבע בדיון אישור ההסכם, לגבי המשכנתא למשל, לא הדליקו אצלה נורות אדומות? </w:t>
      </w:r>
      <w:r w:rsidRPr="008D51C6">
        <w:rPr>
          <w:rFonts w:ascii="David" w:hAnsi="David" w:cs="David"/>
          <w:sz w:val="24"/>
          <w:szCs w:val="24"/>
          <w:rtl/>
        </w:rPr>
        <w:t>התובעת לא ידעה לספק תשובה מנומקת או משכנעת לשאלה זו. כך</w:t>
      </w:r>
      <w:r>
        <w:rPr>
          <w:rFonts w:ascii="David" w:hAnsi="David" w:cs="David"/>
          <w:sz w:val="24"/>
          <w:szCs w:val="24"/>
          <w:rtl/>
        </w:rPr>
        <w:t xml:space="preserve"> גם לא ענתה התובעת באופן משכנע מדוע השאלות שהפנה אליה בית המשפט לא הדליקו </w:t>
      </w:r>
      <w:r>
        <w:rPr>
          <w:rFonts w:ascii="David" w:hAnsi="David" w:cs="David"/>
          <w:sz w:val="24"/>
          <w:szCs w:val="24"/>
          <w:rtl/>
        </w:rPr>
        <w:lastRenderedPageBreak/>
        <w:t xml:space="preserve">אצלה נורות אדומות לרבות כאשר בית המשפט אמר את צמד המילים "ההסכם מקפח". </w:t>
      </w:r>
      <w:r w:rsidRPr="008D51C6">
        <w:rPr>
          <w:rFonts w:ascii="David" w:hAnsi="David" w:cs="David"/>
          <w:sz w:val="24"/>
          <w:szCs w:val="24"/>
          <w:rtl/>
        </w:rPr>
        <w:t>כל שאמרה התובעת שוב זה סמכתי עליו, האמנתי בו ועד היום לא מבינה מה זו המילה קיפוח</w:t>
      </w:r>
      <w:r w:rsidR="00BB35A6">
        <w:rPr>
          <w:rFonts w:ascii="David" w:hAnsi="David" w:cs="David" w:hint="cs"/>
          <w:b/>
          <w:bCs/>
          <w:sz w:val="24"/>
          <w:szCs w:val="24"/>
          <w:rtl/>
        </w:rPr>
        <w:t xml:space="preserve"> </w:t>
      </w:r>
      <w:r w:rsidR="00BB35A6" w:rsidRPr="001E0604">
        <w:rPr>
          <w:rFonts w:ascii="David" w:hAnsi="David" w:cs="David" w:hint="cs"/>
          <w:b/>
          <w:bCs/>
          <w:sz w:val="24"/>
          <w:szCs w:val="24"/>
          <w:rtl/>
        </w:rPr>
        <w:t>(</w:t>
      </w:r>
      <w:r w:rsidR="00770BFE">
        <w:rPr>
          <w:rFonts w:ascii="David" w:hAnsi="David" w:cs="David" w:hint="cs"/>
          <w:sz w:val="24"/>
          <w:szCs w:val="24"/>
          <w:rtl/>
        </w:rPr>
        <w:t xml:space="preserve">ראו: </w:t>
      </w:r>
      <w:r w:rsidR="00BB35A6" w:rsidRPr="001E0604">
        <w:rPr>
          <w:rFonts w:ascii="David" w:hAnsi="David" w:cs="David" w:hint="cs"/>
          <w:b/>
          <w:bCs/>
          <w:sz w:val="24"/>
          <w:szCs w:val="24"/>
          <w:rtl/>
        </w:rPr>
        <w:t xml:space="preserve">פרוטוקול דיון מיום 1.2.2024 עמוד </w:t>
      </w:r>
      <w:r w:rsidR="00BB35A6">
        <w:rPr>
          <w:rFonts w:ascii="David" w:hAnsi="David" w:cs="David" w:hint="cs"/>
          <w:b/>
          <w:bCs/>
          <w:sz w:val="24"/>
          <w:szCs w:val="24"/>
          <w:rtl/>
        </w:rPr>
        <w:t>58</w:t>
      </w:r>
      <w:r w:rsidR="00BB35A6" w:rsidRPr="001E0604">
        <w:rPr>
          <w:rFonts w:ascii="David" w:hAnsi="David" w:cs="David" w:hint="cs"/>
          <w:b/>
          <w:bCs/>
          <w:sz w:val="24"/>
          <w:szCs w:val="24"/>
          <w:rtl/>
        </w:rPr>
        <w:t xml:space="preserve">שורות </w:t>
      </w:r>
      <w:r w:rsidR="00BB35A6">
        <w:rPr>
          <w:rFonts w:ascii="David" w:hAnsi="David" w:cs="David" w:hint="cs"/>
          <w:b/>
          <w:bCs/>
          <w:sz w:val="24"/>
          <w:szCs w:val="24"/>
          <w:rtl/>
        </w:rPr>
        <w:t>13-25</w:t>
      </w:r>
      <w:r w:rsidR="00BB35A6" w:rsidRPr="001E0604">
        <w:rPr>
          <w:rFonts w:ascii="David" w:hAnsi="David" w:cs="David" w:hint="cs"/>
          <w:b/>
          <w:bCs/>
          <w:sz w:val="24"/>
          <w:szCs w:val="24"/>
          <w:rtl/>
        </w:rPr>
        <w:t>)</w:t>
      </w:r>
      <w:r>
        <w:rPr>
          <w:rFonts w:ascii="David" w:hAnsi="David" w:cs="David"/>
          <w:b/>
          <w:bCs/>
          <w:sz w:val="24"/>
          <w:szCs w:val="24"/>
          <w:rtl/>
        </w:rPr>
        <w:t xml:space="preserve">. </w:t>
      </w:r>
    </w:p>
    <w:p w:rsidR="000D324B" w:rsidRDefault="000D324B" w:rsidP="006172AD">
      <w:pPr>
        <w:pStyle w:val="ad"/>
        <w:tabs>
          <w:tab w:val="left" w:pos="425"/>
        </w:tabs>
        <w:spacing w:line="240" w:lineRule="auto"/>
        <w:ind w:left="0" w:firstLine="283"/>
        <w:jc w:val="both"/>
        <w:rPr>
          <w:rFonts w:ascii="David" w:hAnsi="David" w:cs="David"/>
          <w:sz w:val="24"/>
          <w:szCs w:val="24"/>
        </w:rPr>
      </w:pPr>
    </w:p>
    <w:p w:rsidR="000D324B" w:rsidRDefault="000D324B" w:rsidP="000D324B">
      <w:pPr>
        <w:pStyle w:val="ad"/>
        <w:numPr>
          <w:ilvl w:val="0"/>
          <w:numId w:val="1"/>
        </w:numPr>
        <w:tabs>
          <w:tab w:val="left" w:pos="425"/>
        </w:tabs>
        <w:spacing w:line="360" w:lineRule="auto"/>
        <w:ind w:left="0" w:firstLine="283"/>
        <w:jc w:val="both"/>
        <w:rPr>
          <w:rFonts w:ascii="David" w:hAnsi="David" w:cs="David"/>
          <w:b/>
          <w:bCs/>
          <w:sz w:val="24"/>
          <w:szCs w:val="24"/>
          <w:u w:val="single"/>
        </w:rPr>
      </w:pPr>
      <w:r>
        <w:rPr>
          <w:rFonts w:ascii="David" w:hAnsi="David" w:cs="David"/>
          <w:b/>
          <w:bCs/>
          <w:sz w:val="24"/>
          <w:szCs w:val="24"/>
          <w:u w:val="single"/>
          <w:rtl/>
        </w:rPr>
        <w:t>התובעת טענה כי סמכה על הנתבע והאמינה בו</w:t>
      </w:r>
    </w:p>
    <w:p w:rsidR="000D324B" w:rsidRDefault="000D324B" w:rsidP="00380A65">
      <w:pPr>
        <w:pStyle w:val="ad"/>
        <w:numPr>
          <w:ilvl w:val="0"/>
          <w:numId w:val="14"/>
        </w:numPr>
        <w:tabs>
          <w:tab w:val="left" w:pos="425"/>
        </w:tabs>
        <w:spacing w:line="360" w:lineRule="auto"/>
        <w:jc w:val="both"/>
        <w:rPr>
          <w:rFonts w:ascii="David" w:hAnsi="David" w:cs="David"/>
          <w:sz w:val="24"/>
          <w:szCs w:val="24"/>
          <w:rtl/>
        </w:rPr>
      </w:pPr>
      <w:r>
        <w:rPr>
          <w:rFonts w:ascii="David" w:hAnsi="David" w:cs="David"/>
          <w:sz w:val="24"/>
          <w:szCs w:val="24"/>
          <w:rtl/>
        </w:rPr>
        <w:t xml:space="preserve">לאורך כל העדות שבה וחזרה התובעת על אותה המנטרה לפיה </w:t>
      </w:r>
      <w:r>
        <w:rPr>
          <w:rFonts w:ascii="David" w:hAnsi="David" w:cs="David"/>
          <w:b/>
          <w:bCs/>
          <w:sz w:val="24"/>
          <w:szCs w:val="24"/>
          <w:rtl/>
        </w:rPr>
        <w:t>האמינה לנתבע וסמכה עליו</w:t>
      </w:r>
      <w:r>
        <w:rPr>
          <w:rFonts w:ascii="David" w:hAnsi="David" w:cs="David"/>
          <w:sz w:val="24"/>
          <w:szCs w:val="24"/>
          <w:rtl/>
        </w:rPr>
        <w:t>.</w:t>
      </w:r>
    </w:p>
    <w:p w:rsidR="000D324B" w:rsidRDefault="000D324B" w:rsidP="00BB35A6">
      <w:pPr>
        <w:pStyle w:val="ad"/>
        <w:numPr>
          <w:ilvl w:val="0"/>
          <w:numId w:val="14"/>
        </w:numPr>
        <w:tabs>
          <w:tab w:val="left" w:pos="425"/>
        </w:tabs>
        <w:spacing w:line="360" w:lineRule="auto"/>
        <w:jc w:val="both"/>
        <w:rPr>
          <w:rFonts w:ascii="David" w:hAnsi="David" w:cs="David"/>
          <w:sz w:val="24"/>
          <w:szCs w:val="24"/>
        </w:rPr>
      </w:pPr>
      <w:r>
        <w:rPr>
          <w:rFonts w:ascii="David" w:hAnsi="David" w:cs="David"/>
          <w:sz w:val="24"/>
          <w:szCs w:val="24"/>
          <w:rtl/>
        </w:rPr>
        <w:t xml:space="preserve">גם כאשר נשאלה התובעת מדוע כאשר שמעה במפורש שהנתבע אומר בדיון אישור ההסכם, שורה 11 עמוד 1, שאם יתגרשו הדירה תהיה שלו, לא הגיבה? או לא אמרה אני לא מסכימה? או לא שאלה מדוע כך אומר? אם באמת ובתמים סברה כי מדובר רק על סך של 393,000 ₪? תשובותיה היו באותה המנטרה – </w:t>
      </w:r>
      <w:r>
        <w:rPr>
          <w:rFonts w:ascii="David" w:hAnsi="David" w:cs="David"/>
          <w:b/>
          <w:bCs/>
          <w:sz w:val="24"/>
          <w:szCs w:val="24"/>
          <w:rtl/>
        </w:rPr>
        <w:t>"כי האמנתי לו", "כי לא חשבתי על גירושין"</w:t>
      </w:r>
      <w:r w:rsidR="00BB35A6">
        <w:rPr>
          <w:rFonts w:ascii="David" w:hAnsi="David" w:cs="David" w:hint="cs"/>
          <w:b/>
          <w:bCs/>
          <w:sz w:val="24"/>
          <w:szCs w:val="24"/>
          <w:rtl/>
        </w:rPr>
        <w:t xml:space="preserve"> </w:t>
      </w:r>
      <w:r w:rsidR="00BB35A6" w:rsidRPr="001E0604">
        <w:rPr>
          <w:rFonts w:ascii="David" w:hAnsi="David" w:cs="David" w:hint="cs"/>
          <w:b/>
          <w:bCs/>
          <w:sz w:val="24"/>
          <w:szCs w:val="24"/>
          <w:rtl/>
        </w:rPr>
        <w:t>(</w:t>
      </w:r>
      <w:r w:rsidR="00744084">
        <w:rPr>
          <w:rFonts w:ascii="David" w:hAnsi="David" w:cs="David" w:hint="cs"/>
          <w:sz w:val="24"/>
          <w:szCs w:val="24"/>
          <w:rtl/>
        </w:rPr>
        <w:t xml:space="preserve">ראו: </w:t>
      </w:r>
      <w:r w:rsidR="00BB35A6" w:rsidRPr="001E0604">
        <w:rPr>
          <w:rFonts w:ascii="David" w:hAnsi="David" w:cs="David" w:hint="cs"/>
          <w:b/>
          <w:bCs/>
          <w:sz w:val="24"/>
          <w:szCs w:val="24"/>
          <w:rtl/>
        </w:rPr>
        <w:t xml:space="preserve">פרוטוקול דיון מיום 1.2.2024 עמוד </w:t>
      </w:r>
      <w:r w:rsidR="00BB35A6">
        <w:rPr>
          <w:rFonts w:ascii="David" w:hAnsi="David" w:cs="David" w:hint="cs"/>
          <w:b/>
          <w:bCs/>
          <w:sz w:val="24"/>
          <w:szCs w:val="24"/>
          <w:rtl/>
        </w:rPr>
        <w:t>49</w:t>
      </w:r>
      <w:r w:rsidR="00BB35A6" w:rsidRPr="001E0604">
        <w:rPr>
          <w:rFonts w:ascii="David" w:hAnsi="David" w:cs="David" w:hint="cs"/>
          <w:b/>
          <w:bCs/>
          <w:sz w:val="24"/>
          <w:szCs w:val="24"/>
          <w:rtl/>
        </w:rPr>
        <w:t xml:space="preserve"> שורות </w:t>
      </w:r>
      <w:r w:rsidR="00BB35A6">
        <w:rPr>
          <w:rFonts w:ascii="David" w:hAnsi="David" w:cs="David" w:hint="cs"/>
          <w:b/>
          <w:bCs/>
          <w:sz w:val="24"/>
          <w:szCs w:val="24"/>
          <w:rtl/>
        </w:rPr>
        <w:t>3-8</w:t>
      </w:r>
      <w:r w:rsidR="00BB35A6" w:rsidRPr="001E0604">
        <w:rPr>
          <w:rFonts w:ascii="David" w:hAnsi="David" w:cs="David" w:hint="cs"/>
          <w:b/>
          <w:bCs/>
          <w:sz w:val="24"/>
          <w:szCs w:val="24"/>
          <w:rtl/>
        </w:rPr>
        <w:t>)</w:t>
      </w:r>
      <w:r w:rsidR="00BB35A6">
        <w:rPr>
          <w:rFonts w:ascii="David" w:hAnsi="David" w:cs="David" w:hint="cs"/>
          <w:b/>
          <w:bCs/>
          <w:sz w:val="24"/>
          <w:szCs w:val="24"/>
          <w:rtl/>
        </w:rPr>
        <w:t xml:space="preserve"> </w:t>
      </w:r>
      <w:r>
        <w:rPr>
          <w:rFonts w:ascii="David" w:hAnsi="David" w:cs="David"/>
          <w:b/>
          <w:bCs/>
          <w:sz w:val="24"/>
          <w:szCs w:val="24"/>
          <w:rtl/>
        </w:rPr>
        <w:t xml:space="preserve">. </w:t>
      </w:r>
    </w:p>
    <w:p w:rsidR="000D324B" w:rsidRDefault="000D324B" w:rsidP="00380A65">
      <w:pPr>
        <w:pStyle w:val="ad"/>
        <w:numPr>
          <w:ilvl w:val="0"/>
          <w:numId w:val="14"/>
        </w:numPr>
        <w:tabs>
          <w:tab w:val="left" w:pos="425"/>
        </w:tabs>
        <w:spacing w:line="360" w:lineRule="auto"/>
        <w:jc w:val="both"/>
        <w:rPr>
          <w:rFonts w:ascii="David" w:hAnsi="David" w:cs="David"/>
          <w:sz w:val="24"/>
          <w:szCs w:val="24"/>
        </w:rPr>
      </w:pPr>
      <w:r>
        <w:rPr>
          <w:rFonts w:ascii="David" w:hAnsi="David" w:cs="David"/>
          <w:sz w:val="24"/>
          <w:szCs w:val="24"/>
          <w:rtl/>
        </w:rPr>
        <w:t>יכול להיות שהתובעת אכן לא חשבה על גירושין ועל כן לא היה אכפת לה לחתום על כל מסמך, גם כזה שלשיטתה, לכל הפחות היום, מנשל אותה. אולם גם אם כך הדבר אין זו עילה לביטול ההסכם.</w:t>
      </w:r>
    </w:p>
    <w:p w:rsidR="000D324B" w:rsidRDefault="000D324B" w:rsidP="00126F2B">
      <w:pPr>
        <w:pStyle w:val="ad"/>
        <w:numPr>
          <w:ilvl w:val="0"/>
          <w:numId w:val="14"/>
        </w:numPr>
        <w:tabs>
          <w:tab w:val="left" w:pos="425"/>
        </w:tabs>
        <w:spacing w:line="360" w:lineRule="auto"/>
        <w:jc w:val="both"/>
        <w:rPr>
          <w:rFonts w:ascii="David" w:hAnsi="David" w:cs="David"/>
          <w:sz w:val="24"/>
          <w:szCs w:val="24"/>
          <w:rtl/>
        </w:rPr>
      </w:pPr>
      <w:r>
        <w:rPr>
          <w:rFonts w:ascii="David" w:hAnsi="David" w:cs="David"/>
          <w:sz w:val="24"/>
          <w:szCs w:val="24"/>
          <w:rtl/>
        </w:rPr>
        <w:t xml:space="preserve">בית המשפט ספר את מספר הפעמים בהם חזרה התובעת על </w:t>
      </w:r>
      <w:r w:rsidR="00BB35A6">
        <w:rPr>
          <w:rFonts w:ascii="David" w:hAnsi="David" w:cs="David" w:hint="cs"/>
          <w:sz w:val="24"/>
          <w:szCs w:val="24"/>
          <w:rtl/>
        </w:rPr>
        <w:t>ה</w:t>
      </w:r>
      <w:r>
        <w:rPr>
          <w:rFonts w:ascii="David" w:hAnsi="David" w:cs="David"/>
          <w:sz w:val="24"/>
          <w:szCs w:val="24"/>
          <w:rtl/>
        </w:rPr>
        <w:t xml:space="preserve">מילים </w:t>
      </w:r>
      <w:r w:rsidR="00BB35A6">
        <w:rPr>
          <w:rFonts w:ascii="David" w:hAnsi="David" w:cs="David" w:hint="cs"/>
          <w:sz w:val="24"/>
          <w:szCs w:val="24"/>
          <w:rtl/>
        </w:rPr>
        <w:t>"</w:t>
      </w:r>
      <w:r w:rsidR="00BB35A6" w:rsidRPr="008D51C6">
        <w:rPr>
          <w:rFonts w:ascii="David" w:hAnsi="David" w:cs="David" w:hint="cs"/>
          <w:b/>
          <w:bCs/>
          <w:sz w:val="24"/>
          <w:szCs w:val="24"/>
          <w:rtl/>
        </w:rPr>
        <w:t>האמנתי</w:t>
      </w:r>
      <w:r w:rsidR="00BB35A6">
        <w:rPr>
          <w:rFonts w:ascii="David" w:hAnsi="David" w:cs="David" w:hint="cs"/>
          <w:sz w:val="24"/>
          <w:szCs w:val="24"/>
          <w:rtl/>
        </w:rPr>
        <w:t>" או "</w:t>
      </w:r>
      <w:r w:rsidR="00BB35A6" w:rsidRPr="008D51C6">
        <w:rPr>
          <w:rFonts w:ascii="David" w:hAnsi="David" w:cs="David" w:hint="cs"/>
          <w:b/>
          <w:bCs/>
          <w:sz w:val="24"/>
          <w:szCs w:val="24"/>
          <w:rtl/>
        </w:rPr>
        <w:t>סמכתי</w:t>
      </w:r>
      <w:r w:rsidR="00BB35A6">
        <w:rPr>
          <w:rFonts w:ascii="David" w:hAnsi="David" w:cs="David" w:hint="cs"/>
          <w:sz w:val="24"/>
          <w:szCs w:val="24"/>
          <w:rtl/>
        </w:rPr>
        <w:t>" על הנתבע,</w:t>
      </w:r>
      <w:r w:rsidR="00BB35A6">
        <w:rPr>
          <w:rFonts w:ascii="David" w:hAnsi="David" w:cs="David"/>
          <w:sz w:val="24"/>
          <w:szCs w:val="24"/>
          <w:rtl/>
        </w:rPr>
        <w:t xml:space="preserve"> במהלך עדותה</w:t>
      </w:r>
      <w:r w:rsidR="00BB35A6">
        <w:rPr>
          <w:rFonts w:ascii="David" w:hAnsi="David" w:cs="David" w:hint="cs"/>
          <w:sz w:val="24"/>
          <w:szCs w:val="24"/>
          <w:rtl/>
        </w:rPr>
        <w:t xml:space="preserve">, </w:t>
      </w:r>
      <w:r>
        <w:rPr>
          <w:rFonts w:ascii="David" w:hAnsi="David" w:cs="David"/>
          <w:sz w:val="24"/>
          <w:szCs w:val="24"/>
          <w:rtl/>
        </w:rPr>
        <w:t xml:space="preserve">ומצא כי הן רבות במספר </w:t>
      </w:r>
      <w:r w:rsidR="00D4412B">
        <w:rPr>
          <w:rFonts w:ascii="David" w:hAnsi="David" w:cs="David" w:hint="cs"/>
          <w:sz w:val="24"/>
          <w:szCs w:val="24"/>
          <w:rtl/>
        </w:rPr>
        <w:t xml:space="preserve">(כ- 20), </w:t>
      </w:r>
      <w:r w:rsidR="008D51C6">
        <w:rPr>
          <w:rFonts w:ascii="David" w:hAnsi="David" w:cs="David" w:hint="cs"/>
          <w:sz w:val="24"/>
          <w:szCs w:val="24"/>
          <w:rtl/>
        </w:rPr>
        <w:t xml:space="preserve">ודי בכך בכדי להבין את הסיבה לחתימתה על ההסכם, </w:t>
      </w:r>
      <w:r w:rsidR="00126F2B">
        <w:rPr>
          <w:rFonts w:ascii="David" w:hAnsi="David" w:cs="David" w:hint="cs"/>
          <w:sz w:val="24"/>
          <w:szCs w:val="24"/>
          <w:rtl/>
        </w:rPr>
        <w:t>ו</w:t>
      </w:r>
      <w:r w:rsidR="008D51C6">
        <w:rPr>
          <w:rFonts w:ascii="David" w:hAnsi="David" w:cs="David" w:hint="cs"/>
          <w:sz w:val="24"/>
          <w:szCs w:val="24"/>
          <w:rtl/>
        </w:rPr>
        <w:t xml:space="preserve">עדותה בענין זה נשמעה אמינה מאוד. </w:t>
      </w:r>
      <w:r>
        <w:rPr>
          <w:rFonts w:ascii="David" w:hAnsi="David" w:cs="David"/>
          <w:sz w:val="24"/>
          <w:szCs w:val="24"/>
          <w:rtl/>
        </w:rPr>
        <w:t xml:space="preserve">עם כל הכבוד, ואפילו ההבנה והשאיפה של מתן אמון בבני אדם, במיוחד בין בני זוג, לא ניתן לבסס על </w:t>
      </w:r>
      <w:r w:rsidR="00126F2B">
        <w:rPr>
          <w:rFonts w:ascii="David" w:hAnsi="David" w:cs="David" w:hint="cs"/>
          <w:sz w:val="24"/>
          <w:szCs w:val="24"/>
          <w:rtl/>
        </w:rPr>
        <w:t>"</w:t>
      </w:r>
      <w:r w:rsidR="00126F2B" w:rsidRPr="00126F2B">
        <w:rPr>
          <w:rFonts w:ascii="David" w:hAnsi="David" w:cs="David" w:hint="cs"/>
          <w:b/>
          <w:bCs/>
          <w:sz w:val="24"/>
          <w:szCs w:val="24"/>
          <w:rtl/>
        </w:rPr>
        <w:t>פגיעה באמון</w:t>
      </w:r>
      <w:r w:rsidR="00126F2B">
        <w:rPr>
          <w:rFonts w:ascii="David" w:hAnsi="David" w:cs="David" w:hint="cs"/>
          <w:sz w:val="24"/>
          <w:szCs w:val="24"/>
          <w:rtl/>
        </w:rPr>
        <w:t>" ת</w:t>
      </w:r>
      <w:r>
        <w:rPr>
          <w:rFonts w:ascii="David" w:hAnsi="David" w:cs="David"/>
          <w:sz w:val="24"/>
          <w:szCs w:val="24"/>
          <w:rtl/>
        </w:rPr>
        <w:t>ביעה לביטול הסכם.</w:t>
      </w:r>
    </w:p>
    <w:p w:rsidR="000D324B" w:rsidRDefault="00D4412B" w:rsidP="00D4412B">
      <w:pPr>
        <w:pStyle w:val="ad"/>
        <w:numPr>
          <w:ilvl w:val="0"/>
          <w:numId w:val="14"/>
        </w:numPr>
        <w:tabs>
          <w:tab w:val="left" w:pos="425"/>
        </w:tabs>
        <w:spacing w:line="360" w:lineRule="auto"/>
        <w:jc w:val="both"/>
        <w:rPr>
          <w:rFonts w:ascii="David" w:hAnsi="David" w:cs="David"/>
          <w:sz w:val="24"/>
          <w:szCs w:val="24"/>
        </w:rPr>
      </w:pPr>
      <w:r>
        <w:rPr>
          <w:rFonts w:ascii="David" w:hAnsi="David" w:cs="David" w:hint="cs"/>
          <w:sz w:val="24"/>
          <w:szCs w:val="24"/>
          <w:rtl/>
        </w:rPr>
        <w:t xml:space="preserve">ב"כ </w:t>
      </w:r>
      <w:r w:rsidR="000D324B">
        <w:rPr>
          <w:rFonts w:ascii="David" w:hAnsi="David" w:cs="David"/>
          <w:sz w:val="24"/>
          <w:szCs w:val="24"/>
          <w:rtl/>
        </w:rPr>
        <w:t xml:space="preserve">הנתבע הקשה על התובעת ושאל אותה, אם החתימה היתה לאחר ריב, ולטענתה ריב שכלל אף אלימות, איך האמינה בנתבע, ולכך השיבה התובעת </w:t>
      </w:r>
      <w:r>
        <w:rPr>
          <w:rFonts w:ascii="David" w:hAnsi="David" w:cs="David"/>
          <w:sz w:val="24"/>
          <w:szCs w:val="24"/>
          <w:rtl/>
        </w:rPr>
        <w:t>– רציתי לתת הזדמנות לתא המשפחתי</w:t>
      </w:r>
      <w:r>
        <w:rPr>
          <w:rFonts w:ascii="David" w:hAnsi="David" w:cs="David" w:hint="cs"/>
          <w:sz w:val="24"/>
          <w:szCs w:val="24"/>
          <w:rtl/>
        </w:rPr>
        <w:t xml:space="preserve"> </w:t>
      </w:r>
      <w:r w:rsidR="000D324B">
        <w:rPr>
          <w:rFonts w:ascii="David" w:hAnsi="David" w:cs="David"/>
          <w:b/>
          <w:bCs/>
          <w:sz w:val="24"/>
          <w:szCs w:val="24"/>
          <w:rtl/>
        </w:rPr>
        <w:t xml:space="preserve"> </w:t>
      </w:r>
      <w:r w:rsidRPr="001E0604">
        <w:rPr>
          <w:rFonts w:ascii="David" w:hAnsi="David" w:cs="David" w:hint="cs"/>
          <w:b/>
          <w:bCs/>
          <w:sz w:val="24"/>
          <w:szCs w:val="24"/>
          <w:rtl/>
        </w:rPr>
        <w:t>(</w:t>
      </w:r>
      <w:r w:rsidR="001F4D50">
        <w:rPr>
          <w:rFonts w:ascii="David" w:hAnsi="David" w:cs="David" w:hint="cs"/>
          <w:sz w:val="24"/>
          <w:szCs w:val="24"/>
          <w:rtl/>
        </w:rPr>
        <w:t xml:space="preserve">ראו: </w:t>
      </w:r>
      <w:r w:rsidRPr="001E0604">
        <w:rPr>
          <w:rFonts w:ascii="David" w:hAnsi="David" w:cs="David" w:hint="cs"/>
          <w:b/>
          <w:bCs/>
          <w:sz w:val="24"/>
          <w:szCs w:val="24"/>
          <w:rtl/>
        </w:rPr>
        <w:t xml:space="preserve">פרוטוקול דיון מיום 1.2.2024 עמוד </w:t>
      </w:r>
      <w:r>
        <w:rPr>
          <w:rFonts w:ascii="David" w:hAnsi="David" w:cs="David" w:hint="cs"/>
          <w:b/>
          <w:bCs/>
          <w:sz w:val="24"/>
          <w:szCs w:val="24"/>
          <w:rtl/>
        </w:rPr>
        <w:t>34</w:t>
      </w:r>
      <w:r w:rsidRPr="001E0604">
        <w:rPr>
          <w:rFonts w:ascii="David" w:hAnsi="David" w:cs="David" w:hint="cs"/>
          <w:b/>
          <w:bCs/>
          <w:sz w:val="24"/>
          <w:szCs w:val="24"/>
          <w:rtl/>
        </w:rPr>
        <w:t xml:space="preserve"> שורות </w:t>
      </w:r>
      <w:r>
        <w:rPr>
          <w:rFonts w:ascii="David" w:hAnsi="David" w:cs="David" w:hint="cs"/>
          <w:b/>
          <w:bCs/>
          <w:sz w:val="24"/>
          <w:szCs w:val="24"/>
          <w:rtl/>
        </w:rPr>
        <w:t>1-6</w:t>
      </w:r>
      <w:r w:rsidRPr="001E0604">
        <w:rPr>
          <w:rFonts w:ascii="David" w:hAnsi="David" w:cs="David" w:hint="cs"/>
          <w:b/>
          <w:bCs/>
          <w:sz w:val="24"/>
          <w:szCs w:val="24"/>
          <w:rtl/>
        </w:rPr>
        <w:t>)</w:t>
      </w:r>
      <w:r>
        <w:rPr>
          <w:rFonts w:ascii="David" w:hAnsi="David" w:cs="David" w:hint="cs"/>
          <w:b/>
          <w:bCs/>
          <w:sz w:val="24"/>
          <w:szCs w:val="24"/>
          <w:rtl/>
        </w:rPr>
        <w:t xml:space="preserve">. </w:t>
      </w:r>
      <w:r w:rsidR="000D324B">
        <w:rPr>
          <w:rFonts w:ascii="David" w:hAnsi="David" w:cs="David"/>
          <w:sz w:val="24"/>
          <w:szCs w:val="24"/>
          <w:rtl/>
        </w:rPr>
        <w:t>לא מן הנמנע כי חתימ</w:t>
      </w:r>
      <w:r>
        <w:rPr>
          <w:rFonts w:ascii="David" w:hAnsi="David" w:cs="David" w:hint="cs"/>
          <w:sz w:val="24"/>
          <w:szCs w:val="24"/>
          <w:rtl/>
        </w:rPr>
        <w:t>ת</w:t>
      </w:r>
      <w:r w:rsidR="000D324B">
        <w:rPr>
          <w:rFonts w:ascii="David" w:hAnsi="David" w:cs="David"/>
          <w:sz w:val="24"/>
          <w:szCs w:val="24"/>
          <w:rtl/>
        </w:rPr>
        <w:t>ה של התובעת על ההסכם היתה לתת הזדמנות לתא המשפחתי, גם במחיר של ויתור על זכויות בדירה, וגם אם מדובר בטעות אין זו עילה לביטול ההסכם.</w:t>
      </w:r>
    </w:p>
    <w:p w:rsidR="000D324B" w:rsidRDefault="000D324B" w:rsidP="00FD62EA">
      <w:pPr>
        <w:pStyle w:val="ad"/>
        <w:numPr>
          <w:ilvl w:val="0"/>
          <w:numId w:val="14"/>
        </w:numPr>
        <w:tabs>
          <w:tab w:val="left" w:pos="425"/>
        </w:tabs>
        <w:spacing w:line="360" w:lineRule="auto"/>
        <w:jc w:val="both"/>
        <w:rPr>
          <w:rFonts w:ascii="David" w:hAnsi="David" w:cs="David"/>
          <w:sz w:val="24"/>
          <w:szCs w:val="24"/>
        </w:rPr>
      </w:pPr>
      <w:r>
        <w:rPr>
          <w:rFonts w:ascii="David" w:hAnsi="David" w:cs="David"/>
          <w:sz w:val="24"/>
          <w:szCs w:val="24"/>
          <w:rtl/>
        </w:rPr>
        <w:t xml:space="preserve">עוד טענה התובעת כי לא קראה את ההסכם, כי </w:t>
      </w:r>
      <w:r>
        <w:rPr>
          <w:rFonts w:ascii="David" w:hAnsi="David" w:cs="David"/>
          <w:b/>
          <w:bCs/>
          <w:sz w:val="24"/>
          <w:szCs w:val="24"/>
          <w:rtl/>
        </w:rPr>
        <w:t>האמינה</w:t>
      </w:r>
      <w:r>
        <w:rPr>
          <w:rFonts w:ascii="David" w:hAnsi="David" w:cs="David"/>
          <w:sz w:val="24"/>
          <w:szCs w:val="24"/>
          <w:rtl/>
        </w:rPr>
        <w:t xml:space="preserve"> למה שהנתבע אמר, ולא למה שכתוב</w:t>
      </w:r>
      <w:r w:rsidR="00D4412B">
        <w:rPr>
          <w:rFonts w:ascii="David" w:hAnsi="David" w:cs="David" w:hint="cs"/>
          <w:sz w:val="24"/>
          <w:szCs w:val="24"/>
          <w:rtl/>
        </w:rPr>
        <w:t xml:space="preserve"> </w:t>
      </w:r>
      <w:r w:rsidR="00D4412B" w:rsidRPr="001E0604">
        <w:rPr>
          <w:rFonts w:ascii="David" w:hAnsi="David" w:cs="David" w:hint="cs"/>
          <w:b/>
          <w:bCs/>
          <w:sz w:val="24"/>
          <w:szCs w:val="24"/>
          <w:rtl/>
        </w:rPr>
        <w:t>(</w:t>
      </w:r>
      <w:r w:rsidR="001F4D50">
        <w:rPr>
          <w:rFonts w:ascii="David" w:hAnsi="David" w:cs="David" w:hint="cs"/>
          <w:sz w:val="24"/>
          <w:szCs w:val="24"/>
          <w:rtl/>
        </w:rPr>
        <w:t xml:space="preserve">ראו: </w:t>
      </w:r>
      <w:r w:rsidR="00D4412B" w:rsidRPr="001E0604">
        <w:rPr>
          <w:rFonts w:ascii="David" w:hAnsi="David" w:cs="David" w:hint="cs"/>
          <w:b/>
          <w:bCs/>
          <w:sz w:val="24"/>
          <w:szCs w:val="24"/>
          <w:rtl/>
        </w:rPr>
        <w:t xml:space="preserve">פרוטוקול דיון מיום 1.2.2024 עמוד </w:t>
      </w:r>
      <w:r w:rsidR="00D4412B">
        <w:rPr>
          <w:rFonts w:ascii="David" w:hAnsi="David" w:cs="David" w:hint="cs"/>
          <w:b/>
          <w:bCs/>
          <w:sz w:val="24"/>
          <w:szCs w:val="24"/>
          <w:rtl/>
        </w:rPr>
        <w:t>33</w:t>
      </w:r>
      <w:r w:rsidR="00D4412B" w:rsidRPr="001E0604">
        <w:rPr>
          <w:rFonts w:ascii="David" w:hAnsi="David" w:cs="David" w:hint="cs"/>
          <w:b/>
          <w:bCs/>
          <w:sz w:val="24"/>
          <w:szCs w:val="24"/>
          <w:rtl/>
        </w:rPr>
        <w:t xml:space="preserve"> שורות </w:t>
      </w:r>
      <w:r w:rsidR="00D4412B">
        <w:rPr>
          <w:rFonts w:ascii="David" w:hAnsi="David" w:cs="David" w:hint="cs"/>
          <w:b/>
          <w:bCs/>
          <w:sz w:val="24"/>
          <w:szCs w:val="24"/>
          <w:rtl/>
        </w:rPr>
        <w:t>7-9</w:t>
      </w:r>
      <w:r w:rsidR="00D4412B" w:rsidRPr="001E0604">
        <w:rPr>
          <w:rFonts w:ascii="David" w:hAnsi="David" w:cs="David" w:hint="cs"/>
          <w:b/>
          <w:bCs/>
          <w:sz w:val="24"/>
          <w:szCs w:val="24"/>
          <w:rtl/>
        </w:rPr>
        <w:t>)</w:t>
      </w:r>
      <w:r>
        <w:rPr>
          <w:rFonts w:ascii="David" w:hAnsi="David" w:cs="David"/>
          <w:sz w:val="24"/>
          <w:szCs w:val="24"/>
          <w:rtl/>
        </w:rPr>
        <w:t>, וכי חתמה בלי להבין - גם אם כך היה, מה של</w:t>
      </w:r>
      <w:r w:rsidR="00FD62EA">
        <w:rPr>
          <w:rFonts w:ascii="David" w:hAnsi="David" w:cs="David" w:hint="cs"/>
          <w:sz w:val="24"/>
          <w:szCs w:val="24"/>
          <w:rtl/>
        </w:rPr>
        <w:t>א הוכח,</w:t>
      </w:r>
      <w:r>
        <w:rPr>
          <w:rFonts w:ascii="David" w:hAnsi="David" w:cs="David"/>
          <w:sz w:val="24"/>
          <w:szCs w:val="24"/>
          <w:rtl/>
        </w:rPr>
        <w:t xml:space="preserve"> אין בכך בכדי לפטור אותה מאחריות. הטענה של האמנתי עליו, סמכתי עליו, סמכתי על</w:t>
      </w:r>
      <w:r w:rsidR="001D4724">
        <w:rPr>
          <w:rFonts w:ascii="David" w:hAnsi="David" w:cs="David" w:hint="cs"/>
          <w:sz w:val="24"/>
          <w:szCs w:val="24"/>
          <w:rtl/>
        </w:rPr>
        <w:t xml:space="preserve"> כך </w:t>
      </w:r>
      <w:r>
        <w:rPr>
          <w:rFonts w:ascii="David" w:hAnsi="David" w:cs="David"/>
          <w:sz w:val="24"/>
          <w:szCs w:val="24"/>
          <w:rtl/>
        </w:rPr>
        <w:t>שכל מה שבהסכם מקובל עלי, הוא הבעל שלי, לא רק שלא פוטרת מאחריות, היא אף מטילה אחריות. ובכלל, אין בהתנהלות זו בכדי לקבוע כי הנתבע הציג מצג שווא, ולא</w:t>
      </w:r>
      <w:r w:rsidR="00D4412B">
        <w:rPr>
          <w:rFonts w:ascii="David" w:hAnsi="David" w:cs="David"/>
          <w:sz w:val="24"/>
          <w:szCs w:val="24"/>
          <w:rtl/>
        </w:rPr>
        <w:t xml:space="preserve"> מן הנמנע כי הנתבע סבר כי עמדתו</w:t>
      </w:r>
      <w:r w:rsidR="00D4412B">
        <w:rPr>
          <w:rFonts w:ascii="David" w:hAnsi="David" w:cs="David" w:hint="cs"/>
          <w:sz w:val="24"/>
          <w:szCs w:val="24"/>
          <w:rtl/>
        </w:rPr>
        <w:t xml:space="preserve">, אף אם קשה היא, או חריגה, </w:t>
      </w:r>
      <w:r>
        <w:rPr>
          <w:rFonts w:ascii="David" w:hAnsi="David" w:cs="David"/>
          <w:sz w:val="24"/>
          <w:szCs w:val="24"/>
          <w:rtl/>
        </w:rPr>
        <w:t>מקובלת על התובעת.</w:t>
      </w:r>
    </w:p>
    <w:p w:rsidR="000D324B" w:rsidRDefault="000D324B" w:rsidP="00380A65">
      <w:pPr>
        <w:pStyle w:val="ad"/>
        <w:numPr>
          <w:ilvl w:val="0"/>
          <w:numId w:val="14"/>
        </w:numPr>
        <w:tabs>
          <w:tab w:val="left" w:pos="425"/>
        </w:tabs>
        <w:spacing w:line="360" w:lineRule="auto"/>
        <w:jc w:val="both"/>
        <w:rPr>
          <w:rFonts w:ascii="David" w:hAnsi="David" w:cs="David"/>
          <w:sz w:val="24"/>
          <w:szCs w:val="24"/>
        </w:rPr>
      </w:pPr>
      <w:r>
        <w:rPr>
          <w:rFonts w:ascii="David" w:hAnsi="David" w:cs="David"/>
          <w:sz w:val="24"/>
          <w:szCs w:val="24"/>
          <w:rtl/>
        </w:rPr>
        <w:t xml:space="preserve">גם אם בית המשפט יקבל את טענות האשה כי לא בדקה ולא ידעה על מה חתמה וגם אם בית המשפט יתעלם מהעובדה שהאחריות היא עליה, מצופה היה שהתנהלותו היסודית </w:t>
      </w:r>
      <w:r>
        <w:rPr>
          <w:rFonts w:ascii="David" w:hAnsi="David" w:cs="David"/>
          <w:sz w:val="24"/>
          <w:szCs w:val="24"/>
          <w:rtl/>
        </w:rPr>
        <w:lastRenderedPageBreak/>
        <w:t>של בית המשפט, שלא ויתר, הסביר, הקריא שוב ושוב, שאל שאלות, ואף ביקש מעו"ד לצאת ולהסביר לצדדים את משמעות ההסכם – היתה מעלה אצל האשה, לכל הפחות, ספקות, ולא היתה נותרת באמירה, שלכאורה פוטרת אותה מכל אחריות, "</w:t>
      </w:r>
      <w:r>
        <w:rPr>
          <w:rFonts w:ascii="David" w:hAnsi="David" w:cs="David"/>
          <w:b/>
          <w:bCs/>
          <w:sz w:val="24"/>
          <w:szCs w:val="24"/>
          <w:rtl/>
        </w:rPr>
        <w:t>סמכתי עליו</w:t>
      </w:r>
      <w:r>
        <w:rPr>
          <w:rFonts w:ascii="David" w:hAnsi="David" w:cs="David"/>
          <w:sz w:val="24"/>
          <w:szCs w:val="24"/>
          <w:rtl/>
        </w:rPr>
        <w:t>".</w:t>
      </w:r>
    </w:p>
    <w:p w:rsidR="000D324B" w:rsidRPr="00764023" w:rsidRDefault="000D324B" w:rsidP="00764023">
      <w:pPr>
        <w:pStyle w:val="ad"/>
        <w:numPr>
          <w:ilvl w:val="0"/>
          <w:numId w:val="14"/>
        </w:numPr>
        <w:tabs>
          <w:tab w:val="left" w:pos="425"/>
        </w:tabs>
        <w:spacing w:line="360" w:lineRule="auto"/>
        <w:jc w:val="both"/>
        <w:rPr>
          <w:rFonts w:ascii="David" w:hAnsi="David" w:cs="David"/>
          <w:sz w:val="24"/>
          <w:szCs w:val="24"/>
        </w:rPr>
      </w:pPr>
      <w:r w:rsidRPr="00764023">
        <w:rPr>
          <w:rFonts w:ascii="David" w:hAnsi="David" w:cs="David"/>
          <w:sz w:val="24"/>
          <w:szCs w:val="24"/>
          <w:rtl/>
        </w:rPr>
        <w:t xml:space="preserve">בכתבי הטענות היה דגש על "לא הבנתי על מה חתמתי", </w:t>
      </w:r>
      <w:r w:rsidR="001D4724" w:rsidRPr="00764023">
        <w:rPr>
          <w:rFonts w:ascii="David" w:hAnsi="David" w:cs="David" w:hint="cs"/>
          <w:sz w:val="24"/>
          <w:szCs w:val="24"/>
          <w:rtl/>
        </w:rPr>
        <w:t xml:space="preserve">ו/או </w:t>
      </w:r>
      <w:r w:rsidRPr="00764023">
        <w:rPr>
          <w:rFonts w:ascii="David" w:hAnsi="David" w:cs="David"/>
          <w:sz w:val="24"/>
          <w:szCs w:val="24"/>
          <w:rtl/>
        </w:rPr>
        <w:t>"חתמתי תחת עושק והטעייה", ו</w:t>
      </w:r>
      <w:r w:rsidR="001D4724" w:rsidRPr="00764023">
        <w:rPr>
          <w:rFonts w:ascii="David" w:hAnsi="David" w:cs="David" w:hint="cs"/>
          <w:sz w:val="24"/>
          <w:szCs w:val="24"/>
          <w:rtl/>
        </w:rPr>
        <w:t xml:space="preserve">/או </w:t>
      </w:r>
      <w:r w:rsidR="001D4724" w:rsidRPr="00764023">
        <w:rPr>
          <w:rFonts w:ascii="David" w:hAnsi="David" w:cs="David"/>
          <w:sz w:val="24"/>
          <w:szCs w:val="24"/>
          <w:rtl/>
        </w:rPr>
        <w:t>"הייתי במצב נפשי קשה</w:t>
      </w:r>
      <w:r w:rsidR="001D4724" w:rsidRPr="00764023">
        <w:rPr>
          <w:rFonts w:ascii="David" w:hAnsi="David" w:cs="David" w:hint="cs"/>
          <w:sz w:val="24"/>
          <w:szCs w:val="24"/>
          <w:rtl/>
        </w:rPr>
        <w:t>",</w:t>
      </w:r>
      <w:r w:rsidR="00764023" w:rsidRPr="00764023">
        <w:rPr>
          <w:rFonts w:ascii="David" w:hAnsi="David" w:cs="David" w:hint="cs"/>
          <w:sz w:val="24"/>
          <w:szCs w:val="24"/>
          <w:rtl/>
        </w:rPr>
        <w:t xml:space="preserve"> </w:t>
      </w:r>
      <w:r w:rsidRPr="00764023">
        <w:rPr>
          <w:rFonts w:ascii="David" w:hAnsi="David" w:cs="David"/>
          <w:sz w:val="24"/>
          <w:szCs w:val="24"/>
          <w:rtl/>
        </w:rPr>
        <w:t>כאשר בדיון ההוכחות הדגש היה על "סמכתי עליו, האמנתי בו".</w:t>
      </w:r>
      <w:r w:rsidR="001D4724" w:rsidRPr="00764023">
        <w:rPr>
          <w:rFonts w:ascii="David" w:hAnsi="David" w:cs="David" w:hint="cs"/>
          <w:sz w:val="24"/>
          <w:szCs w:val="24"/>
          <w:rtl/>
        </w:rPr>
        <w:t xml:space="preserve"> המילים "סמכתי עליו" או "האמנתי בו" אינן מילים נרדפות ל</w:t>
      </w:r>
      <w:r w:rsidR="00FA6970">
        <w:rPr>
          <w:rFonts w:ascii="David" w:hAnsi="David" w:cs="David" w:hint="cs"/>
          <w:sz w:val="24"/>
          <w:szCs w:val="24"/>
          <w:rtl/>
        </w:rPr>
        <w:t>מילים</w:t>
      </w:r>
      <w:r w:rsidR="001D4724" w:rsidRPr="00764023">
        <w:rPr>
          <w:rFonts w:ascii="David" w:hAnsi="David" w:cs="David" w:hint="cs"/>
          <w:sz w:val="24"/>
          <w:szCs w:val="24"/>
          <w:rtl/>
        </w:rPr>
        <w:t xml:space="preserve"> "</w:t>
      </w:r>
      <w:r w:rsidR="00764023" w:rsidRPr="00764023">
        <w:rPr>
          <w:rFonts w:ascii="David" w:hAnsi="David" w:cs="David" w:hint="cs"/>
          <w:sz w:val="24"/>
          <w:szCs w:val="24"/>
          <w:rtl/>
        </w:rPr>
        <w:t>עושק" ו/או "כפייה".</w:t>
      </w:r>
      <w:r w:rsidR="00764023">
        <w:rPr>
          <w:rFonts w:ascii="David" w:hAnsi="David" w:cs="David" w:hint="cs"/>
          <w:sz w:val="24"/>
          <w:szCs w:val="24"/>
          <w:rtl/>
        </w:rPr>
        <w:t xml:space="preserve"> יחד עם זאת ולמעלה מן הצורך,</w:t>
      </w:r>
      <w:r w:rsidR="001D4724" w:rsidRPr="00764023">
        <w:rPr>
          <w:rFonts w:ascii="David" w:hAnsi="David" w:cs="David" w:hint="cs"/>
          <w:sz w:val="24"/>
          <w:szCs w:val="24"/>
          <w:rtl/>
        </w:rPr>
        <w:t xml:space="preserve"> </w:t>
      </w:r>
      <w:r w:rsidRPr="00764023">
        <w:rPr>
          <w:rFonts w:ascii="David" w:hAnsi="David" w:cs="David"/>
          <w:sz w:val="24"/>
          <w:szCs w:val="24"/>
          <w:rtl/>
        </w:rPr>
        <w:t>ככל שהתובעת כ</w:t>
      </w:r>
      <w:r w:rsidR="00FA6970">
        <w:rPr>
          <w:rFonts w:ascii="David" w:hAnsi="David" w:cs="David" w:hint="cs"/>
          <w:sz w:val="24"/>
          <w:szCs w:val="24"/>
          <w:rtl/>
        </w:rPr>
        <w:t>י</w:t>
      </w:r>
      <w:r w:rsidRPr="00764023">
        <w:rPr>
          <w:rFonts w:ascii="David" w:hAnsi="David" w:cs="David"/>
          <w:sz w:val="24"/>
          <w:szCs w:val="24"/>
          <w:rtl/>
        </w:rPr>
        <w:t>וונה</w:t>
      </w:r>
      <w:r w:rsidR="00764023">
        <w:rPr>
          <w:rFonts w:ascii="David" w:hAnsi="David" w:cs="David" w:hint="cs"/>
          <w:sz w:val="24"/>
          <w:szCs w:val="24"/>
          <w:rtl/>
        </w:rPr>
        <w:t>,</w:t>
      </w:r>
      <w:r w:rsidRPr="00764023">
        <w:rPr>
          <w:rFonts w:ascii="David" w:hAnsi="David" w:cs="David"/>
          <w:sz w:val="24"/>
          <w:szCs w:val="24"/>
          <w:rtl/>
        </w:rPr>
        <w:t xml:space="preserve"> בכתבי הטענות</w:t>
      </w:r>
      <w:r w:rsidR="00764023">
        <w:rPr>
          <w:rFonts w:ascii="David" w:hAnsi="David" w:cs="David" w:hint="cs"/>
          <w:sz w:val="24"/>
          <w:szCs w:val="24"/>
          <w:rtl/>
        </w:rPr>
        <w:t>,</w:t>
      </w:r>
      <w:r w:rsidRPr="00764023">
        <w:rPr>
          <w:rFonts w:ascii="David" w:hAnsi="David" w:cs="David"/>
          <w:sz w:val="24"/>
          <w:szCs w:val="24"/>
          <w:rtl/>
        </w:rPr>
        <w:t xml:space="preserve"> כי מצבה מעיד שנכפתה עליה החתימה על הסכם הממון, הפסיקה קבעה מבחן כפול, כדי להכיר בכפיה כסיבה לביטול חוזה, מבחן הכולל </w:t>
      </w:r>
      <w:r w:rsidRPr="00764023">
        <w:rPr>
          <w:rFonts w:ascii="David" w:hAnsi="David" w:cs="David"/>
          <w:sz w:val="24"/>
          <w:szCs w:val="24"/>
        </w:rPr>
        <w:t>"</w:t>
      </w:r>
      <w:r w:rsidRPr="00764023">
        <w:rPr>
          <w:rFonts w:ascii="David" w:hAnsi="David" w:cs="David"/>
          <w:sz w:val="24"/>
          <w:szCs w:val="24"/>
          <w:rtl/>
        </w:rPr>
        <w:t>עוצמה</w:t>
      </w:r>
      <w:r w:rsidRPr="00764023">
        <w:rPr>
          <w:rFonts w:ascii="David" w:hAnsi="David" w:cs="David"/>
          <w:sz w:val="24"/>
          <w:szCs w:val="24"/>
        </w:rPr>
        <w:t>" </w:t>
      </w:r>
      <w:r w:rsidRPr="00764023">
        <w:rPr>
          <w:rFonts w:ascii="David" w:hAnsi="David" w:cs="David"/>
          <w:sz w:val="24"/>
          <w:szCs w:val="24"/>
          <w:rtl/>
        </w:rPr>
        <w:t>ו</w:t>
      </w:r>
      <w:r w:rsidRPr="00764023">
        <w:rPr>
          <w:rFonts w:ascii="David" w:hAnsi="David" w:cs="David"/>
          <w:sz w:val="24"/>
          <w:szCs w:val="24"/>
        </w:rPr>
        <w:t>"</w:t>
      </w:r>
      <w:r w:rsidR="001F4D50" w:rsidRPr="00764023">
        <w:rPr>
          <w:rFonts w:ascii="David" w:hAnsi="David" w:cs="David"/>
          <w:sz w:val="24"/>
          <w:szCs w:val="24"/>
          <w:rtl/>
        </w:rPr>
        <w:t>איכ</w:t>
      </w:r>
      <w:r w:rsidR="008921FA" w:rsidRPr="00764023">
        <w:rPr>
          <w:rFonts w:ascii="David" w:hAnsi="David" w:cs="David" w:hint="cs"/>
          <w:sz w:val="24"/>
          <w:szCs w:val="24"/>
          <w:rtl/>
        </w:rPr>
        <w:t xml:space="preserve">ות" </w:t>
      </w:r>
      <w:r w:rsidR="001F4D50" w:rsidRPr="00764023">
        <w:rPr>
          <w:rFonts w:ascii="David" w:hAnsi="David" w:cs="David" w:hint="cs"/>
          <w:sz w:val="24"/>
          <w:szCs w:val="24"/>
          <w:rtl/>
        </w:rPr>
        <w:t>של לחצים</w:t>
      </w:r>
      <w:r w:rsidRPr="00764023">
        <w:rPr>
          <w:rFonts w:ascii="David" w:hAnsi="David" w:cs="David"/>
          <w:sz w:val="24"/>
          <w:szCs w:val="24"/>
          <w:rtl/>
        </w:rPr>
        <w:t xml:space="preserve">. בהגדרה כפיה, </w:t>
      </w:r>
      <w:r w:rsidR="008D51C6" w:rsidRPr="00764023">
        <w:rPr>
          <w:rFonts w:ascii="David" w:hAnsi="David" w:cs="David" w:hint="cs"/>
          <w:sz w:val="24"/>
          <w:szCs w:val="24"/>
          <w:rtl/>
        </w:rPr>
        <w:t xml:space="preserve">נקבע </w:t>
      </w:r>
      <w:r w:rsidRPr="00764023">
        <w:rPr>
          <w:rFonts w:ascii="David" w:hAnsi="David" w:cs="David"/>
          <w:sz w:val="24"/>
          <w:szCs w:val="24"/>
          <w:rtl/>
        </w:rPr>
        <w:t>בין היתר כך</w:t>
      </w:r>
      <w:r w:rsidR="008D51C6" w:rsidRPr="00764023">
        <w:rPr>
          <w:rFonts w:ascii="David" w:hAnsi="David" w:cs="David" w:hint="cs"/>
          <w:sz w:val="24"/>
          <w:szCs w:val="24"/>
          <w:rtl/>
        </w:rPr>
        <w:t>:</w:t>
      </w:r>
      <w:r w:rsidRPr="00764023">
        <w:rPr>
          <w:rFonts w:ascii="David" w:hAnsi="David" w:cs="David"/>
          <w:b/>
          <w:bCs/>
          <w:color w:val="000000"/>
          <w:sz w:val="24"/>
          <w:szCs w:val="24"/>
          <w:rtl/>
        </w:rPr>
        <w:t xml:space="preserve"> "לחצים כבדים אשר חותרים תחת עצם הרצון המינימאלי ... והמציבים את הצד התם במצב שבו אין לפניו כל ברירה סבירה אחרת, בלתי אם להתקשר בחוזה – עשויים להקים עילה להשתחררויות מחיוב חוזי</w:t>
      </w:r>
      <w:r w:rsidR="001F4D50" w:rsidRPr="00764023">
        <w:rPr>
          <w:rFonts w:ascii="David" w:hAnsi="David" w:cs="David"/>
          <w:b/>
          <w:bCs/>
          <w:color w:val="000000"/>
          <w:sz w:val="24"/>
          <w:szCs w:val="24"/>
        </w:rPr>
        <w:t xml:space="preserve"> </w:t>
      </w:r>
      <w:r w:rsidR="00764023">
        <w:rPr>
          <w:rFonts w:ascii="David" w:hAnsi="David" w:cs="David"/>
          <w:b/>
          <w:bCs/>
          <w:color w:val="000000"/>
          <w:sz w:val="24"/>
          <w:szCs w:val="24"/>
        </w:rPr>
        <w:t xml:space="preserve">" </w:t>
      </w:r>
      <w:r w:rsidR="001F4D50" w:rsidRPr="00764023">
        <w:rPr>
          <w:rFonts w:ascii="David" w:hAnsi="David" w:cs="David" w:hint="cs"/>
          <w:color w:val="000000"/>
          <w:sz w:val="24"/>
          <w:szCs w:val="24"/>
          <w:rtl/>
        </w:rPr>
        <w:t>(</w:t>
      </w:r>
      <w:r w:rsidR="00764023">
        <w:rPr>
          <w:rFonts w:ascii="David" w:hAnsi="David" w:cs="David"/>
          <w:color w:val="000000"/>
          <w:sz w:val="24"/>
          <w:szCs w:val="24"/>
          <w:rtl/>
        </w:rPr>
        <w:t>רא</w:t>
      </w:r>
      <w:r w:rsidR="00764023">
        <w:rPr>
          <w:rFonts w:ascii="David" w:hAnsi="David" w:cs="David" w:hint="cs"/>
          <w:color w:val="000000"/>
          <w:sz w:val="24"/>
          <w:szCs w:val="24"/>
          <w:rtl/>
        </w:rPr>
        <w:t xml:space="preserve">ו: </w:t>
      </w:r>
      <w:r w:rsidRPr="00764023">
        <w:rPr>
          <w:rFonts w:ascii="David" w:hAnsi="David" w:cs="David"/>
          <w:color w:val="000000"/>
          <w:sz w:val="24"/>
          <w:szCs w:val="24"/>
        </w:rPr>
        <w:t> </w:t>
      </w:r>
      <w:r w:rsidRPr="00764023">
        <w:rPr>
          <w:rFonts w:ascii="David" w:hAnsi="David" w:cs="David"/>
          <w:color w:val="000000"/>
          <w:sz w:val="24"/>
          <w:szCs w:val="24"/>
          <w:rtl/>
        </w:rPr>
        <w:t>ע"א 6234/00 </w:t>
      </w:r>
      <w:r w:rsidRPr="00764023">
        <w:rPr>
          <w:rFonts w:ascii="David" w:hAnsi="David" w:cs="David"/>
          <w:b/>
          <w:bCs/>
          <w:color w:val="000000"/>
          <w:sz w:val="24"/>
          <w:szCs w:val="24"/>
          <w:rtl/>
        </w:rPr>
        <w:t xml:space="preserve"> ש.א.פ בע"מ נ' בנק לאומי בע"מ</w:t>
      </w:r>
      <w:r w:rsidRPr="00764023">
        <w:rPr>
          <w:rFonts w:ascii="David" w:hAnsi="David" w:cs="David"/>
          <w:color w:val="000000"/>
          <w:sz w:val="24"/>
          <w:szCs w:val="24"/>
          <w:rtl/>
        </w:rPr>
        <w:t> </w:t>
      </w:r>
      <w:r w:rsidRPr="00764023">
        <w:rPr>
          <w:rFonts w:ascii="David" w:hAnsi="David" w:cs="David"/>
          <w:color w:val="000000"/>
          <w:sz w:val="24"/>
          <w:szCs w:val="24"/>
        </w:rPr>
        <w:t xml:space="preserve">(22.09.03) </w:t>
      </w:r>
      <w:r w:rsidRPr="00764023">
        <w:rPr>
          <w:rFonts w:ascii="David" w:hAnsi="David" w:cs="David"/>
          <w:color w:val="000000"/>
          <w:sz w:val="24"/>
          <w:szCs w:val="24"/>
          <w:rtl/>
        </w:rPr>
        <w:t xml:space="preserve">(פורסם במאגר "נבו") תוך ציטוט דברי כבוד הנשיא שמגר בע"א 8/88 </w:t>
      </w:r>
      <w:r w:rsidRPr="00764023">
        <w:rPr>
          <w:rFonts w:ascii="David" w:hAnsi="David" w:cs="David"/>
          <w:b/>
          <w:bCs/>
          <w:color w:val="000000"/>
          <w:sz w:val="24"/>
          <w:szCs w:val="24"/>
          <w:rtl/>
        </w:rPr>
        <w:t>שאול רחמים בע"מ נ' אסקפומדיה בע"מ</w:t>
      </w:r>
      <w:r w:rsidRPr="00764023">
        <w:rPr>
          <w:rFonts w:ascii="David" w:hAnsi="David" w:cs="David"/>
          <w:color w:val="000000"/>
          <w:sz w:val="24"/>
          <w:szCs w:val="24"/>
          <w:rtl/>
        </w:rPr>
        <w:t>, פ"ד מ"ג</w:t>
      </w:r>
      <w:r w:rsidRPr="00764023">
        <w:rPr>
          <w:rFonts w:ascii="David" w:hAnsi="David" w:cs="David"/>
          <w:color w:val="000000"/>
          <w:sz w:val="24"/>
          <w:szCs w:val="24"/>
        </w:rPr>
        <w:t xml:space="preserve">(4) 95, </w:t>
      </w:r>
      <w:r w:rsidRPr="00764023">
        <w:rPr>
          <w:rFonts w:ascii="David" w:hAnsi="David" w:cs="David"/>
          <w:color w:val="000000"/>
          <w:sz w:val="24"/>
          <w:szCs w:val="24"/>
          <w:rtl/>
        </w:rPr>
        <w:t xml:space="preserve"> בעמוד 140</w:t>
      </w:r>
      <w:r w:rsidR="001F4D50" w:rsidRPr="00764023">
        <w:rPr>
          <w:rFonts w:ascii="David" w:hAnsi="David" w:cs="David"/>
          <w:color w:val="000000"/>
          <w:sz w:val="24"/>
          <w:szCs w:val="24"/>
        </w:rPr>
        <w:t>(</w:t>
      </w:r>
      <w:r w:rsidR="001F4D50" w:rsidRPr="00764023">
        <w:rPr>
          <w:rFonts w:ascii="David" w:hAnsi="David" w:cs="David" w:hint="cs"/>
          <w:color w:val="000000"/>
          <w:sz w:val="24"/>
          <w:szCs w:val="24"/>
          <w:rtl/>
        </w:rPr>
        <w:t>.</w:t>
      </w:r>
    </w:p>
    <w:p w:rsidR="000D324B" w:rsidRPr="008921FA" w:rsidRDefault="000D324B" w:rsidP="00764023">
      <w:pPr>
        <w:pStyle w:val="ad"/>
        <w:numPr>
          <w:ilvl w:val="0"/>
          <w:numId w:val="14"/>
        </w:numPr>
        <w:tabs>
          <w:tab w:val="left" w:pos="425"/>
        </w:tabs>
        <w:spacing w:line="360" w:lineRule="auto"/>
        <w:jc w:val="both"/>
        <w:rPr>
          <w:rFonts w:ascii="David" w:hAnsi="David" w:cs="David"/>
          <w:sz w:val="24"/>
          <w:szCs w:val="24"/>
        </w:rPr>
      </w:pPr>
      <w:r w:rsidRPr="00380A65">
        <w:rPr>
          <w:rFonts w:ascii="David" w:hAnsi="David" w:cs="David"/>
          <w:sz w:val="24"/>
          <w:szCs w:val="24"/>
          <w:rtl/>
        </w:rPr>
        <w:t>בענייננו</w:t>
      </w:r>
      <w:r>
        <w:rPr>
          <w:rFonts w:ascii="David" w:hAnsi="David" w:cs="David"/>
          <w:color w:val="000000"/>
          <w:sz w:val="24"/>
          <w:szCs w:val="24"/>
          <w:rtl/>
        </w:rPr>
        <w:t xml:space="preserve">, לא עולה כי התובעת ניצבה במצב של חוסר ברירה, או במצב בו כפו עליה את חתימתה, </w:t>
      </w:r>
      <w:r>
        <w:rPr>
          <w:rFonts w:ascii="David" w:hAnsi="David" w:cs="David"/>
          <w:sz w:val="24"/>
          <w:szCs w:val="24"/>
          <w:rtl/>
        </w:rPr>
        <w:t>וכאמור, קיים פער בין כתבי הטענות לעדות התובעת</w:t>
      </w:r>
      <w:r w:rsidRPr="008921FA">
        <w:rPr>
          <w:rFonts w:ascii="David" w:hAnsi="David" w:cs="David"/>
          <w:sz w:val="24"/>
          <w:szCs w:val="24"/>
          <w:rtl/>
        </w:rPr>
        <w:t xml:space="preserve">. </w:t>
      </w:r>
      <w:r w:rsidR="008921FA" w:rsidRPr="008921FA">
        <w:rPr>
          <w:rFonts w:ascii="David" w:hAnsi="David" w:cs="David" w:hint="cs"/>
          <w:sz w:val="24"/>
          <w:szCs w:val="24"/>
          <w:rtl/>
        </w:rPr>
        <w:t>אף</w:t>
      </w:r>
      <w:r w:rsidR="008921FA" w:rsidRPr="008921FA">
        <w:rPr>
          <w:rFonts w:ascii="David" w:hAnsi="David" w:cs="David"/>
          <w:sz w:val="24"/>
          <w:szCs w:val="24"/>
          <w:rtl/>
        </w:rPr>
        <w:t xml:space="preserve"> עדות</w:t>
      </w:r>
      <w:r w:rsidR="008921FA" w:rsidRPr="008921FA">
        <w:rPr>
          <w:rFonts w:ascii="David" w:hAnsi="David" w:cs="David" w:hint="cs"/>
          <w:sz w:val="24"/>
          <w:szCs w:val="24"/>
          <w:rtl/>
        </w:rPr>
        <w:t>ה</w:t>
      </w:r>
      <w:r w:rsidR="008921FA" w:rsidRPr="008921FA">
        <w:rPr>
          <w:rFonts w:ascii="David" w:hAnsi="David" w:cs="David"/>
          <w:sz w:val="24"/>
          <w:szCs w:val="24"/>
          <w:rtl/>
        </w:rPr>
        <w:t xml:space="preserve"> של התובעת </w:t>
      </w:r>
      <w:r w:rsidR="008921FA" w:rsidRPr="008921FA">
        <w:rPr>
          <w:rFonts w:ascii="David" w:hAnsi="David" w:cs="David" w:hint="cs"/>
          <w:sz w:val="24"/>
          <w:szCs w:val="24"/>
          <w:rtl/>
        </w:rPr>
        <w:t xml:space="preserve">לגבי ניהול מו"מ עם הנתבע קודם לחתימה </w:t>
      </w:r>
      <w:r w:rsidR="008921FA" w:rsidRPr="008921FA">
        <w:rPr>
          <w:rFonts w:ascii="David" w:hAnsi="David" w:cs="David" w:hint="cs"/>
          <w:b/>
          <w:bCs/>
          <w:sz w:val="24"/>
          <w:szCs w:val="24"/>
          <w:rtl/>
        </w:rPr>
        <w:t>(</w:t>
      </w:r>
      <w:r w:rsidR="008921FA" w:rsidRPr="008921FA">
        <w:rPr>
          <w:rFonts w:ascii="David" w:hAnsi="David" w:cs="David" w:hint="cs"/>
          <w:sz w:val="24"/>
          <w:szCs w:val="24"/>
          <w:rtl/>
        </w:rPr>
        <w:t>ראו</w:t>
      </w:r>
      <w:r w:rsidR="008921FA" w:rsidRPr="008921FA">
        <w:rPr>
          <w:rFonts w:ascii="David" w:hAnsi="David" w:cs="David" w:hint="cs"/>
          <w:b/>
          <w:bCs/>
          <w:sz w:val="24"/>
          <w:szCs w:val="24"/>
          <w:rtl/>
        </w:rPr>
        <w:t>: פרוטוקול דיון מיום 1.2.2024 עמוד 67 שורות 21-31 ועמוד 68 שורות 1-6)</w:t>
      </w:r>
      <w:r w:rsidR="008921FA" w:rsidRPr="008921FA">
        <w:rPr>
          <w:rFonts w:ascii="David" w:hAnsi="David" w:cs="David" w:hint="cs"/>
          <w:sz w:val="24"/>
          <w:szCs w:val="24"/>
          <w:rtl/>
        </w:rPr>
        <w:t xml:space="preserve">, מחזקת את הטענה כי החתימה לא נכפתה עליה, בוודאי לא באופן </w:t>
      </w:r>
      <w:r w:rsidR="00764023">
        <w:rPr>
          <w:rFonts w:ascii="David" w:hAnsi="David" w:cs="David" w:hint="cs"/>
          <w:sz w:val="24"/>
          <w:szCs w:val="24"/>
          <w:rtl/>
        </w:rPr>
        <w:t xml:space="preserve">בו הוגדרה המילה </w:t>
      </w:r>
      <w:r w:rsidR="008921FA" w:rsidRPr="008921FA">
        <w:rPr>
          <w:rFonts w:ascii="David" w:hAnsi="David" w:cs="David" w:hint="cs"/>
          <w:sz w:val="24"/>
          <w:szCs w:val="24"/>
          <w:rtl/>
        </w:rPr>
        <w:t xml:space="preserve">כפייה בפסיקה. </w:t>
      </w:r>
      <w:r w:rsidRPr="008921FA">
        <w:rPr>
          <w:rFonts w:ascii="David" w:hAnsi="David" w:cs="David"/>
          <w:sz w:val="24"/>
          <w:szCs w:val="24"/>
          <w:rtl/>
        </w:rPr>
        <w:t xml:space="preserve">משבית המשפט לא מצא כי התובעת היתה מצויה במצב של חוסר ברירה העולה לידי כך שכפו עליה את חתימתה על הסכם הממון, </w:t>
      </w:r>
      <w:r w:rsidRPr="008921FA">
        <w:rPr>
          <w:rFonts w:ascii="David" w:hAnsi="David" w:cs="David"/>
          <w:b/>
          <w:bCs/>
          <w:sz w:val="24"/>
          <w:szCs w:val="24"/>
          <w:rtl/>
        </w:rPr>
        <w:t>ניתן משקל יתר לעדותה לפיה סמכה על הנתבע ובחרה לחתום על הסכם הממון, בין היתר, בשל כך</w:t>
      </w:r>
      <w:r w:rsidRPr="008921FA">
        <w:rPr>
          <w:rFonts w:ascii="David" w:hAnsi="David" w:cs="David"/>
          <w:sz w:val="24"/>
          <w:szCs w:val="24"/>
          <w:rtl/>
        </w:rPr>
        <w:t xml:space="preserve">. תשובותיה של התובעת מובילות למסקנה כי היא אינה מרוצה מהסכם הממון. נראה כי כעת התובעת סבורה </w:t>
      </w:r>
      <w:r w:rsidR="00764023">
        <w:rPr>
          <w:rFonts w:ascii="David" w:hAnsi="David" w:cs="David" w:hint="cs"/>
          <w:sz w:val="24"/>
          <w:szCs w:val="24"/>
          <w:rtl/>
        </w:rPr>
        <w:t>ש</w:t>
      </w:r>
      <w:r w:rsidRPr="008921FA">
        <w:rPr>
          <w:rFonts w:ascii="David" w:hAnsi="David" w:cs="David"/>
          <w:sz w:val="24"/>
          <w:szCs w:val="24"/>
          <w:rtl/>
        </w:rPr>
        <w:t>עשתה טעות כאשר חתמה על הסכם הממון ואישרה אותו, והיא אף מתחרטת על כך, אולם כידוע, טעות בכדאיות העסקה אינה עילה לביטולה.</w:t>
      </w:r>
    </w:p>
    <w:p w:rsidR="000D324B" w:rsidRPr="00764023" w:rsidRDefault="000D324B" w:rsidP="00764023">
      <w:pPr>
        <w:pStyle w:val="ad"/>
        <w:tabs>
          <w:tab w:val="left" w:pos="425"/>
        </w:tabs>
        <w:spacing w:line="240" w:lineRule="auto"/>
        <w:ind w:left="0" w:firstLine="283"/>
        <w:jc w:val="both"/>
        <w:rPr>
          <w:rFonts w:ascii="David" w:hAnsi="David" w:cs="David"/>
          <w:sz w:val="24"/>
          <w:szCs w:val="24"/>
        </w:rPr>
      </w:pPr>
    </w:p>
    <w:p w:rsidR="000D324B" w:rsidRDefault="000D324B" w:rsidP="000D324B">
      <w:pPr>
        <w:pStyle w:val="ad"/>
        <w:numPr>
          <w:ilvl w:val="0"/>
          <w:numId w:val="1"/>
        </w:numPr>
        <w:tabs>
          <w:tab w:val="left" w:pos="425"/>
        </w:tabs>
        <w:spacing w:line="360" w:lineRule="auto"/>
        <w:ind w:left="0" w:firstLine="283"/>
        <w:jc w:val="both"/>
        <w:rPr>
          <w:rFonts w:ascii="David" w:hAnsi="David" w:cs="David"/>
          <w:b/>
          <w:bCs/>
          <w:sz w:val="24"/>
          <w:szCs w:val="24"/>
          <w:u w:val="single"/>
        </w:rPr>
      </w:pPr>
      <w:r>
        <w:rPr>
          <w:rFonts w:ascii="David" w:hAnsi="David" w:cs="David"/>
          <w:b/>
          <w:bCs/>
          <w:sz w:val="24"/>
          <w:szCs w:val="24"/>
          <w:u w:val="single"/>
          <w:rtl/>
        </w:rPr>
        <w:t xml:space="preserve">התובעת לא הוכיחה כי אזכור המשכנתא באישור ההסכם מהווה הטעייה </w:t>
      </w:r>
    </w:p>
    <w:p w:rsidR="00CC6794" w:rsidRDefault="000D324B" w:rsidP="00CC6794">
      <w:pPr>
        <w:pStyle w:val="ad"/>
        <w:numPr>
          <w:ilvl w:val="0"/>
          <w:numId w:val="15"/>
        </w:numPr>
        <w:tabs>
          <w:tab w:val="left" w:pos="425"/>
        </w:tabs>
        <w:spacing w:line="360" w:lineRule="auto"/>
        <w:jc w:val="both"/>
        <w:rPr>
          <w:rFonts w:ascii="David" w:hAnsi="David" w:cs="David"/>
          <w:sz w:val="24"/>
          <w:szCs w:val="24"/>
        </w:rPr>
      </w:pPr>
      <w:r>
        <w:rPr>
          <w:rFonts w:ascii="David" w:hAnsi="David" w:cs="David"/>
          <w:sz w:val="24"/>
          <w:szCs w:val="24"/>
          <w:rtl/>
        </w:rPr>
        <w:t>התובעת ניסתה לבסס טענה של טעות והטעייה של הנתבע כלפיה, בעת אישור ההסכם, ולשם כך גייסה את תשובת הנתבע בדיון</w:t>
      </w:r>
      <w:r w:rsidR="00D4412B">
        <w:rPr>
          <w:rFonts w:ascii="David" w:hAnsi="David" w:cs="David" w:hint="cs"/>
          <w:sz w:val="24"/>
          <w:szCs w:val="24"/>
          <w:rtl/>
        </w:rPr>
        <w:t xml:space="preserve"> אישור ההסכם</w:t>
      </w:r>
      <w:r>
        <w:rPr>
          <w:rFonts w:ascii="David" w:hAnsi="David" w:cs="David"/>
          <w:sz w:val="24"/>
          <w:szCs w:val="24"/>
          <w:rtl/>
        </w:rPr>
        <w:t xml:space="preserve"> "</w:t>
      </w:r>
      <w:r>
        <w:rPr>
          <w:rFonts w:ascii="David" w:hAnsi="David" w:cs="David"/>
          <w:b/>
          <w:bCs/>
          <w:sz w:val="24"/>
          <w:szCs w:val="24"/>
          <w:rtl/>
        </w:rPr>
        <w:t>אני לא חושב שאקח משכנתא</w:t>
      </w:r>
      <w:r>
        <w:rPr>
          <w:rFonts w:ascii="David" w:hAnsi="David" w:cs="David"/>
          <w:sz w:val="24"/>
          <w:szCs w:val="24"/>
          <w:rtl/>
        </w:rPr>
        <w:t xml:space="preserve">" כאשר לשיטתה, בעת הדיון, ידע הנתבע היטב כי בכוונתו לקחת משכנתא, שהרי הם חתמו על הסכם רכישת דירת המגורים למחרת אישור ההסכם. עוד הוסיפה התובעת וטענה כי באותו הדיון הנתבע שינה את גרסתו ואז אמר שיקח משכנתא על סך 300,000 ₪, כאשר בסוף נטלו הצדדים 600,000 ₪ ועל כן שינוי הגרסאות מוכיח כי הטעה אותה. </w:t>
      </w:r>
    </w:p>
    <w:p w:rsidR="000D324B" w:rsidRDefault="000D324B" w:rsidP="00D00FB2">
      <w:pPr>
        <w:pStyle w:val="ad"/>
        <w:numPr>
          <w:ilvl w:val="0"/>
          <w:numId w:val="15"/>
        </w:numPr>
        <w:tabs>
          <w:tab w:val="left" w:pos="425"/>
        </w:tabs>
        <w:spacing w:line="360" w:lineRule="auto"/>
        <w:jc w:val="both"/>
        <w:rPr>
          <w:rFonts w:ascii="David" w:hAnsi="David" w:cs="David"/>
          <w:sz w:val="24"/>
          <w:szCs w:val="24"/>
        </w:rPr>
      </w:pPr>
      <w:r>
        <w:rPr>
          <w:rFonts w:ascii="David" w:hAnsi="David" w:cs="David"/>
          <w:sz w:val="24"/>
          <w:szCs w:val="24"/>
          <w:rtl/>
        </w:rPr>
        <w:lastRenderedPageBreak/>
        <w:t>גם אם האיש ידע אודות היקף המשכנתא, כבר בעת חתימת ההסכם, ואף על פי כן לא אמר במהלך הדיון את הסכום המדויק, אין בכך ב</w:t>
      </w:r>
      <w:r w:rsidR="00D4412B">
        <w:rPr>
          <w:rFonts w:ascii="David" w:hAnsi="David" w:cs="David" w:hint="cs"/>
          <w:sz w:val="24"/>
          <w:szCs w:val="24"/>
          <w:rtl/>
        </w:rPr>
        <w:t>אופן אוטומטי כדי להוכיח הטעייה</w:t>
      </w:r>
      <w:r w:rsidR="00D00FB2">
        <w:rPr>
          <w:rFonts w:ascii="David" w:hAnsi="David" w:cs="David" w:hint="cs"/>
          <w:sz w:val="24"/>
          <w:szCs w:val="24"/>
          <w:rtl/>
        </w:rPr>
        <w:t xml:space="preserve"> ו</w:t>
      </w:r>
      <w:r>
        <w:rPr>
          <w:rFonts w:ascii="David" w:hAnsi="David" w:cs="David"/>
          <w:sz w:val="24"/>
          <w:szCs w:val="24"/>
          <w:rtl/>
        </w:rPr>
        <w:t>בוודאי שאין בכך בכדי לבטל את ההסכם.</w:t>
      </w:r>
    </w:p>
    <w:p w:rsidR="002846ED" w:rsidRDefault="002846ED" w:rsidP="00A070F8">
      <w:pPr>
        <w:pStyle w:val="ad"/>
        <w:tabs>
          <w:tab w:val="left" w:pos="425"/>
        </w:tabs>
        <w:spacing w:line="240" w:lineRule="auto"/>
        <w:ind w:left="1080"/>
        <w:jc w:val="both"/>
        <w:rPr>
          <w:rFonts w:ascii="David" w:hAnsi="David" w:cs="David"/>
          <w:sz w:val="24"/>
          <w:szCs w:val="24"/>
          <w:rtl/>
        </w:rPr>
      </w:pPr>
    </w:p>
    <w:p w:rsidR="002846ED" w:rsidRPr="002846ED" w:rsidRDefault="002846ED" w:rsidP="002846ED">
      <w:pPr>
        <w:pStyle w:val="ad"/>
        <w:numPr>
          <w:ilvl w:val="0"/>
          <w:numId w:val="1"/>
        </w:numPr>
        <w:tabs>
          <w:tab w:val="left" w:pos="425"/>
        </w:tabs>
        <w:spacing w:line="360" w:lineRule="auto"/>
        <w:ind w:left="0" w:firstLine="283"/>
        <w:jc w:val="both"/>
        <w:rPr>
          <w:rFonts w:ascii="David" w:hAnsi="David" w:cs="David"/>
          <w:b/>
          <w:bCs/>
          <w:sz w:val="24"/>
          <w:szCs w:val="24"/>
          <w:u w:val="single"/>
        </w:rPr>
      </w:pPr>
      <w:r w:rsidRPr="002846ED">
        <w:rPr>
          <w:rFonts w:ascii="David" w:hAnsi="David" w:cs="David" w:hint="cs"/>
          <w:b/>
          <w:bCs/>
          <w:sz w:val="24"/>
          <w:szCs w:val="24"/>
          <w:u w:val="single"/>
          <w:rtl/>
        </w:rPr>
        <w:t>התובעת לא הוכיחה כי מדובר בהסכם שתנאי</w:t>
      </w:r>
      <w:r w:rsidR="00126F2B">
        <w:rPr>
          <w:rFonts w:ascii="David" w:hAnsi="David" w:cs="David" w:hint="cs"/>
          <w:b/>
          <w:bCs/>
          <w:sz w:val="24"/>
          <w:szCs w:val="24"/>
          <w:u w:val="single"/>
          <w:rtl/>
        </w:rPr>
        <w:t>ו</w:t>
      </w:r>
      <w:r w:rsidRPr="002846ED">
        <w:rPr>
          <w:rFonts w:ascii="David" w:hAnsi="David" w:cs="David" w:hint="cs"/>
          <w:b/>
          <w:bCs/>
          <w:sz w:val="24"/>
          <w:szCs w:val="24"/>
          <w:u w:val="single"/>
          <w:rtl/>
        </w:rPr>
        <w:t xml:space="preserve"> דרקונים</w:t>
      </w:r>
    </w:p>
    <w:p w:rsidR="002846ED" w:rsidRDefault="002846ED" w:rsidP="002846ED">
      <w:pPr>
        <w:pStyle w:val="ad"/>
        <w:numPr>
          <w:ilvl w:val="0"/>
          <w:numId w:val="18"/>
        </w:numPr>
        <w:tabs>
          <w:tab w:val="left" w:pos="425"/>
        </w:tabs>
        <w:spacing w:line="360" w:lineRule="auto"/>
        <w:jc w:val="both"/>
        <w:rPr>
          <w:rFonts w:ascii="David" w:hAnsi="David" w:cs="David"/>
          <w:b/>
          <w:bCs/>
          <w:sz w:val="24"/>
          <w:szCs w:val="24"/>
        </w:rPr>
      </w:pPr>
      <w:r>
        <w:rPr>
          <w:rFonts w:ascii="David" w:hAnsi="David" w:cs="David" w:hint="cs"/>
          <w:sz w:val="24"/>
          <w:szCs w:val="24"/>
          <w:rtl/>
        </w:rPr>
        <w:t xml:space="preserve">לטענת הנתבע ביקש בהסכם הממון להגן על כסף שלו ושל הוריו. </w:t>
      </w:r>
      <w:r w:rsidRPr="00CC6794">
        <w:rPr>
          <w:rFonts w:ascii="David" w:hAnsi="David" w:cs="David"/>
          <w:sz w:val="24"/>
          <w:szCs w:val="24"/>
          <w:rtl/>
        </w:rPr>
        <w:t xml:space="preserve">יש הגיון שהנתבע, יבקש לעגן </w:t>
      </w:r>
      <w:r>
        <w:rPr>
          <w:rFonts w:ascii="David" w:hAnsi="David" w:cs="David"/>
          <w:sz w:val="24"/>
          <w:szCs w:val="24"/>
          <w:rtl/>
        </w:rPr>
        <w:t>בהסכם</w:t>
      </w:r>
      <w:r>
        <w:rPr>
          <w:rFonts w:ascii="David" w:hAnsi="David" w:cs="David" w:hint="cs"/>
          <w:sz w:val="24"/>
          <w:szCs w:val="24"/>
          <w:rtl/>
        </w:rPr>
        <w:t xml:space="preserve"> את זכויותיו בדירה לאחר שהשקיע בה כספים שלו או של הוריו, </w:t>
      </w:r>
      <w:r w:rsidRPr="00CC6794">
        <w:rPr>
          <w:rFonts w:ascii="David" w:hAnsi="David" w:cs="David"/>
          <w:sz w:val="24"/>
          <w:szCs w:val="24"/>
          <w:rtl/>
        </w:rPr>
        <w:t xml:space="preserve"> ועל כן, גם טענות התובעת לפיהן מדובר בתנאי הסכם גרועים במידה בלתי סבירה מן המקובל לא הוכחו. בחירה של צד לדרוש מבן זוגו חתימה על הסכם ממון, טרם הנישואין, ואף לאחריהם, אינה מהווה שלילת החופש של הצד השני שלא לחתום. לענין זה יפים הדברים מתוך עמ"ש (ת"א) </w:t>
      </w:r>
      <w:r w:rsidRPr="00CC6794">
        <w:rPr>
          <w:rFonts w:ascii="David" w:hAnsi="David" w:cs="David"/>
          <w:b/>
          <w:bCs/>
          <w:sz w:val="24"/>
          <w:szCs w:val="24"/>
          <w:rtl/>
        </w:rPr>
        <w:t>1015/08 פלוני נ' פלונית</w:t>
      </w:r>
      <w:r w:rsidRPr="00CC6794">
        <w:rPr>
          <w:rFonts w:ascii="David" w:hAnsi="David" w:cs="David"/>
          <w:sz w:val="24"/>
          <w:szCs w:val="24"/>
          <w:rtl/>
        </w:rPr>
        <w:t> ( 26/5/2013</w:t>
      </w:r>
      <w:r w:rsidRPr="00CC6794">
        <w:rPr>
          <w:rFonts w:ascii="David" w:hAnsi="David" w:cs="David"/>
          <w:sz w:val="24"/>
          <w:szCs w:val="24"/>
        </w:rPr>
        <w:t>"</w:t>
      </w:r>
      <w:r>
        <w:rPr>
          <w:rFonts w:ascii="David" w:hAnsi="David" w:cs="David"/>
          <w:sz w:val="24"/>
          <w:szCs w:val="24"/>
        </w:rPr>
        <w:t xml:space="preserve"> </w:t>
      </w:r>
      <w:r w:rsidRPr="00CC6794">
        <w:rPr>
          <w:rFonts w:ascii="David" w:hAnsi="David" w:cs="David"/>
          <w:sz w:val="24"/>
          <w:szCs w:val="24"/>
        </w:rPr>
        <w:t>: (</w:t>
      </w:r>
      <w:r w:rsidRPr="00CC6794">
        <w:rPr>
          <w:rFonts w:ascii="David" w:hAnsi="David" w:cs="David"/>
          <w:b/>
          <w:bCs/>
          <w:sz w:val="24"/>
          <w:szCs w:val="24"/>
          <w:rtl/>
        </w:rPr>
        <w:t>לא כל הסכמה של אחד מבני הזוג, בעניין רכושי זה או אחר, הנובעת מתוך רצון לשלום בית, או שבן הזוג לא יעזבנו תחשב כפגם ברצון אשר יכול להביא לבטלות אותה הסכמה, מעילה זאת או אחרת, לרבות עילת העושק"</w:t>
      </w:r>
      <w:r w:rsidRPr="00CC6794">
        <w:rPr>
          <w:rFonts w:ascii="David" w:hAnsi="David" w:cs="David"/>
          <w:b/>
          <w:bCs/>
          <w:sz w:val="24"/>
          <w:szCs w:val="24"/>
        </w:rPr>
        <w:t>.</w:t>
      </w:r>
    </w:p>
    <w:p w:rsidR="00A070F8" w:rsidRPr="00A070F8" w:rsidRDefault="00A070F8" w:rsidP="00A070F8">
      <w:pPr>
        <w:pStyle w:val="ad"/>
        <w:numPr>
          <w:ilvl w:val="0"/>
          <w:numId w:val="18"/>
        </w:numPr>
        <w:tabs>
          <w:tab w:val="left" w:pos="425"/>
        </w:tabs>
        <w:spacing w:line="360" w:lineRule="auto"/>
        <w:jc w:val="both"/>
        <w:rPr>
          <w:rFonts w:ascii="David" w:hAnsi="David" w:cs="David"/>
          <w:sz w:val="24"/>
          <w:szCs w:val="24"/>
        </w:rPr>
      </w:pPr>
      <w:r w:rsidRPr="00A070F8">
        <w:rPr>
          <w:rFonts w:ascii="David" w:hAnsi="David" w:cs="David" w:hint="cs"/>
          <w:sz w:val="24"/>
          <w:szCs w:val="24"/>
          <w:rtl/>
        </w:rPr>
        <w:t xml:space="preserve">הנתבע טען שוב ושוב כי </w:t>
      </w:r>
      <w:r>
        <w:rPr>
          <w:rFonts w:ascii="David" w:hAnsi="David" w:cs="David" w:hint="cs"/>
          <w:sz w:val="24"/>
          <w:szCs w:val="24"/>
          <w:rtl/>
        </w:rPr>
        <w:t xml:space="preserve">התובעת רצתה </w:t>
      </w:r>
      <w:r w:rsidRPr="00A070F8">
        <w:rPr>
          <w:rFonts w:ascii="David" w:hAnsi="David" w:cs="David" w:hint="cs"/>
          <w:sz w:val="24"/>
          <w:szCs w:val="24"/>
          <w:rtl/>
        </w:rPr>
        <w:t>לשפר את רמת החיים שלה</w:t>
      </w:r>
      <w:r>
        <w:rPr>
          <w:rFonts w:ascii="David" w:hAnsi="David" w:cs="David" w:hint="cs"/>
          <w:b/>
          <w:bCs/>
          <w:sz w:val="24"/>
          <w:szCs w:val="24"/>
          <w:rtl/>
        </w:rPr>
        <w:t xml:space="preserve">, </w:t>
      </w:r>
      <w:r w:rsidRPr="00A070F8">
        <w:rPr>
          <w:rFonts w:ascii="David" w:hAnsi="David" w:cs="David" w:hint="cs"/>
          <w:sz w:val="24"/>
          <w:szCs w:val="24"/>
          <w:rtl/>
        </w:rPr>
        <w:t xml:space="preserve">באמצעות מגורים בדירה בבעלות במקום בשכירות </w:t>
      </w:r>
      <w:r>
        <w:rPr>
          <w:rFonts w:ascii="David" w:hAnsi="David" w:cs="David" w:hint="cs"/>
          <w:b/>
          <w:bCs/>
          <w:sz w:val="24"/>
          <w:szCs w:val="24"/>
          <w:rtl/>
        </w:rPr>
        <w:t>(</w:t>
      </w:r>
      <w:r w:rsidR="004D5052">
        <w:rPr>
          <w:rFonts w:ascii="David" w:hAnsi="David" w:cs="David" w:hint="cs"/>
          <w:sz w:val="24"/>
          <w:szCs w:val="24"/>
          <w:rtl/>
        </w:rPr>
        <w:t xml:space="preserve">ראו: </w:t>
      </w:r>
      <w:r>
        <w:rPr>
          <w:rFonts w:ascii="David" w:hAnsi="David" w:cs="David" w:hint="cs"/>
          <w:b/>
          <w:bCs/>
          <w:sz w:val="24"/>
          <w:szCs w:val="24"/>
          <w:rtl/>
        </w:rPr>
        <w:t xml:space="preserve">פרוטוקול דיון מיום 15.4.2024 עמוד 130 שורות 7-9 ועמוד 105 שורות 18-22 ועמוד 106 שורה 3) </w:t>
      </w:r>
      <w:r w:rsidRPr="00A070F8">
        <w:rPr>
          <w:rFonts w:ascii="David" w:hAnsi="David" w:cs="David" w:hint="cs"/>
          <w:sz w:val="24"/>
          <w:szCs w:val="24"/>
          <w:rtl/>
        </w:rPr>
        <w:t>וטענה זו לא נסתרה על ידי התובעת.</w:t>
      </w:r>
    </w:p>
    <w:p w:rsidR="00D00FB2" w:rsidRPr="00D00FB2" w:rsidRDefault="00D00FB2" w:rsidP="00D00FB2">
      <w:pPr>
        <w:pStyle w:val="ad"/>
        <w:numPr>
          <w:ilvl w:val="0"/>
          <w:numId w:val="1"/>
        </w:numPr>
        <w:tabs>
          <w:tab w:val="left" w:pos="425"/>
        </w:tabs>
        <w:spacing w:line="360" w:lineRule="auto"/>
        <w:ind w:hanging="437"/>
        <w:jc w:val="both"/>
        <w:rPr>
          <w:rFonts w:ascii="David" w:hAnsi="David" w:cs="David"/>
          <w:sz w:val="24"/>
          <w:szCs w:val="24"/>
          <w:rtl/>
        </w:rPr>
      </w:pPr>
      <w:r w:rsidRPr="00D00FB2">
        <w:rPr>
          <w:rFonts w:ascii="David" w:hAnsi="David" w:cs="David" w:hint="cs"/>
          <w:sz w:val="24"/>
          <w:szCs w:val="24"/>
          <w:rtl/>
        </w:rPr>
        <w:t xml:space="preserve">הנתבע </w:t>
      </w:r>
      <w:r>
        <w:rPr>
          <w:rFonts w:ascii="David" w:hAnsi="David" w:cs="David" w:hint="cs"/>
          <w:sz w:val="24"/>
          <w:szCs w:val="24"/>
          <w:rtl/>
        </w:rPr>
        <w:t>הביא ל</w:t>
      </w:r>
      <w:r w:rsidRPr="00D00FB2">
        <w:rPr>
          <w:rFonts w:ascii="David" w:hAnsi="David" w:cs="David" w:hint="cs"/>
          <w:sz w:val="24"/>
          <w:szCs w:val="24"/>
          <w:rtl/>
        </w:rPr>
        <w:t xml:space="preserve">עדות את אימו, </w:t>
      </w:r>
      <w:r>
        <w:rPr>
          <w:rFonts w:ascii="David" w:hAnsi="David" w:cs="David" w:hint="cs"/>
          <w:sz w:val="24"/>
          <w:szCs w:val="24"/>
          <w:rtl/>
        </w:rPr>
        <w:t xml:space="preserve">אשר הגישה תצהיר מטעמה, על מנת לתמוך בטענותיו, </w:t>
      </w:r>
      <w:r w:rsidRPr="00D00FB2">
        <w:rPr>
          <w:rFonts w:ascii="David" w:hAnsi="David" w:cs="David" w:hint="cs"/>
          <w:sz w:val="24"/>
          <w:szCs w:val="24"/>
          <w:rtl/>
        </w:rPr>
        <w:t>אלא שעדותה לא הורידה ולא הוסיפה</w:t>
      </w:r>
      <w:r>
        <w:rPr>
          <w:rFonts w:ascii="David" w:hAnsi="David" w:cs="David" w:hint="cs"/>
          <w:sz w:val="24"/>
          <w:szCs w:val="24"/>
          <w:rtl/>
        </w:rPr>
        <w:t>,</w:t>
      </w:r>
      <w:r w:rsidRPr="00D00FB2">
        <w:rPr>
          <w:rFonts w:ascii="David" w:hAnsi="David" w:cs="David" w:hint="cs"/>
          <w:sz w:val="24"/>
          <w:szCs w:val="24"/>
          <w:rtl/>
        </w:rPr>
        <w:t xml:space="preserve"> ועל כן בית המשפט אינו נותן לה מקום בפסק הדין.</w:t>
      </w:r>
    </w:p>
    <w:p w:rsidR="000D324B" w:rsidRDefault="000D324B" w:rsidP="000D324B">
      <w:pPr>
        <w:tabs>
          <w:tab w:val="left" w:pos="425"/>
        </w:tabs>
        <w:spacing w:line="360" w:lineRule="auto"/>
        <w:ind w:firstLine="283"/>
        <w:jc w:val="both"/>
        <w:rPr>
          <w:rFonts w:ascii="David" w:hAnsi="David"/>
          <w:b/>
          <w:bCs/>
          <w:sz w:val="26"/>
          <w:szCs w:val="26"/>
          <w:u w:val="single"/>
        </w:rPr>
      </w:pPr>
      <w:r>
        <w:rPr>
          <w:rFonts w:ascii="David" w:hAnsi="David"/>
          <w:b/>
          <w:bCs/>
          <w:sz w:val="26"/>
          <w:szCs w:val="26"/>
          <w:u w:val="single"/>
          <w:rtl/>
        </w:rPr>
        <w:t>לסיכום חלק זה של פסק הדין – תביעה לביטול הסכם</w:t>
      </w:r>
    </w:p>
    <w:p w:rsidR="000D324B" w:rsidRDefault="000D324B" w:rsidP="000D324B">
      <w:pPr>
        <w:pStyle w:val="ad"/>
        <w:tabs>
          <w:tab w:val="left" w:pos="425"/>
        </w:tabs>
        <w:ind w:left="0" w:firstLine="283"/>
        <w:rPr>
          <w:rFonts w:ascii="David" w:hAnsi="David"/>
        </w:rPr>
      </w:pPr>
    </w:p>
    <w:p w:rsidR="000D324B" w:rsidRDefault="000D324B" w:rsidP="00764023">
      <w:pPr>
        <w:pStyle w:val="ad"/>
        <w:numPr>
          <w:ilvl w:val="0"/>
          <w:numId w:val="1"/>
        </w:numPr>
        <w:tabs>
          <w:tab w:val="left" w:pos="425"/>
        </w:tabs>
        <w:spacing w:line="360" w:lineRule="auto"/>
        <w:ind w:hanging="437"/>
        <w:jc w:val="both"/>
        <w:rPr>
          <w:rFonts w:ascii="David" w:hAnsi="David" w:cs="David"/>
          <w:sz w:val="24"/>
          <w:szCs w:val="24"/>
          <w:rtl/>
        </w:rPr>
      </w:pPr>
      <w:r>
        <w:rPr>
          <w:rFonts w:ascii="David" w:hAnsi="David" w:cs="David"/>
          <w:sz w:val="24"/>
          <w:szCs w:val="24"/>
          <w:rtl/>
        </w:rPr>
        <w:t>המדיניות השיפוטית הראויה הינה לדבוק בחובת צדדים להסכם לכבד את ההסכם ולפעול לפיו. המדיניות השיפוטית הראויה הינה לדבוק בכיבוד החוק ולפעול על פיו. במקרה דנן, אוחדו השניים – כיבוד ההסכם וכיבוד החוק, המאשר את ההסכם ונותן לו תוקף של פס"ד.</w:t>
      </w:r>
      <w:r>
        <w:rPr>
          <w:rFonts w:ascii="David" w:hAnsi="David" w:cs="David"/>
          <w:sz w:val="24"/>
          <w:szCs w:val="24"/>
        </w:rPr>
        <w:t xml:space="preserve"> </w:t>
      </w:r>
      <w:r>
        <w:rPr>
          <w:rFonts w:ascii="David" w:hAnsi="David" w:cs="David"/>
          <w:sz w:val="24"/>
          <w:szCs w:val="24"/>
          <w:rtl/>
        </w:rPr>
        <w:t xml:space="preserve">בית משפט זה סבור כי הסכמים יש לכבד ותביעה לביטולם יש לעשות במשורה ובמקרי קיצון. לענין זה יפים דבריו של כבוד השופט ארז שני בתה"ס 7529-09-17 </w:t>
      </w:r>
      <w:r>
        <w:rPr>
          <w:rFonts w:ascii="David" w:hAnsi="David" w:cs="David"/>
          <w:b/>
          <w:bCs/>
          <w:sz w:val="24"/>
          <w:szCs w:val="24"/>
          <w:rtl/>
        </w:rPr>
        <w:t>מ.נ' ד.מ</w:t>
      </w:r>
      <w:r>
        <w:rPr>
          <w:rFonts w:ascii="David" w:hAnsi="David" w:cs="David"/>
          <w:sz w:val="24"/>
          <w:szCs w:val="24"/>
          <w:rtl/>
        </w:rPr>
        <w:t xml:space="preserve">.: </w:t>
      </w:r>
      <w:r>
        <w:rPr>
          <w:rFonts w:ascii="David" w:hAnsi="David" w:cs="David"/>
          <w:b/>
          <w:bCs/>
          <w:sz w:val="24"/>
          <w:szCs w:val="24"/>
          <w:rtl/>
        </w:rPr>
        <w:t xml:space="preserve">"שוב ושוב נזדמן לי לכתוב על הסוגיה (וראה, למשל, </w:t>
      </w:r>
      <w:hyperlink r:id="rId12" w:history="1">
        <w:r w:rsidRPr="004D5052">
          <w:rPr>
            <w:rStyle w:val="Hyperlink"/>
            <w:rFonts w:ascii="David" w:hAnsi="David" w:cs="David"/>
            <w:b/>
            <w:bCs/>
            <w:color w:val="auto"/>
            <w:sz w:val="24"/>
            <w:szCs w:val="24"/>
            <w:u w:val="none"/>
            <w:rtl/>
          </w:rPr>
          <w:t>תה"ס 963-07-13</w:t>
        </w:r>
      </w:hyperlink>
      <w:r w:rsidRPr="004D5052">
        <w:rPr>
          <w:rFonts w:ascii="David" w:hAnsi="David" w:cs="David"/>
          <w:b/>
          <w:bCs/>
          <w:sz w:val="24"/>
          <w:szCs w:val="24"/>
          <w:rtl/>
        </w:rPr>
        <w:t xml:space="preserve"> </w:t>
      </w:r>
      <w:r>
        <w:rPr>
          <w:rFonts w:ascii="David" w:hAnsi="David" w:cs="David"/>
          <w:b/>
          <w:bCs/>
          <w:sz w:val="24"/>
          <w:szCs w:val="24"/>
          <w:rtl/>
        </w:rPr>
        <w:t xml:space="preserve">וכן </w:t>
      </w:r>
      <w:hyperlink r:id="rId13" w:history="1">
        <w:r w:rsidRPr="004D5052">
          <w:rPr>
            <w:rStyle w:val="Hyperlink"/>
            <w:rFonts w:ascii="David" w:hAnsi="David" w:cs="David"/>
            <w:b/>
            <w:bCs/>
            <w:color w:val="auto"/>
            <w:sz w:val="24"/>
            <w:szCs w:val="24"/>
            <w:u w:val="none"/>
            <w:rtl/>
          </w:rPr>
          <w:t>תמ"ש 1365-05-18</w:t>
        </w:r>
      </w:hyperlink>
      <w:r>
        <w:rPr>
          <w:rFonts w:ascii="David" w:hAnsi="David" w:cs="David"/>
          <w:b/>
          <w:bCs/>
          <w:sz w:val="24"/>
          <w:szCs w:val="24"/>
          <w:rtl/>
        </w:rPr>
        <w:t xml:space="preserve">), [פורסם בנבו] עד שנדמה לי כי תובענות לביטול הסכם הפכו שכיחות מידי בניגוד למדיניות השיפוטית הראויה, הקובעת כי יכול אדם להסתמך על הסכם ממון אשר אושר ולצפות כי זה לא יבוטל, אלא בנדיר שבנדיר (וראה: </w:t>
      </w:r>
      <w:hyperlink r:id="rId14" w:history="1">
        <w:r w:rsidRPr="004D5052">
          <w:rPr>
            <w:rStyle w:val="Hyperlink"/>
            <w:rFonts w:ascii="David" w:hAnsi="David" w:cs="David"/>
            <w:b/>
            <w:bCs/>
            <w:color w:val="auto"/>
            <w:sz w:val="24"/>
            <w:szCs w:val="24"/>
            <w:u w:val="none"/>
            <w:rtl/>
          </w:rPr>
          <w:t>בג"צ (י-ם) 6103/93 לוי נ' בית הדין הרבני הגדול בירושלים, מח</w:t>
        </w:r>
      </w:hyperlink>
      <w:r w:rsidR="00764023">
        <w:rPr>
          <w:rFonts w:ascii="David" w:hAnsi="David" w:cs="David"/>
          <w:b/>
          <w:bCs/>
          <w:sz w:val="24"/>
          <w:szCs w:val="24"/>
          <w:rtl/>
        </w:rPr>
        <w:t xml:space="preserve">(4) 591 {פמ"מ – 04.09.1994}). </w:t>
      </w:r>
      <w:r>
        <w:rPr>
          <w:rFonts w:ascii="David" w:hAnsi="David" w:cs="David"/>
          <w:b/>
          <w:bCs/>
          <w:sz w:val="24"/>
          <w:szCs w:val="24"/>
          <w:rtl/>
        </w:rPr>
        <w:t xml:space="preserve">הסכם ממון אינו עניין לשיטת "מצליח" וצריך זה המבקש לבטלו, לשקול שוב ושוב ושוב טרם יגיש עתירה שכזו". </w:t>
      </w:r>
    </w:p>
    <w:p w:rsidR="00CC6794" w:rsidRDefault="000D324B" w:rsidP="004D5052">
      <w:pPr>
        <w:pStyle w:val="ad"/>
        <w:numPr>
          <w:ilvl w:val="0"/>
          <w:numId w:val="1"/>
        </w:numPr>
        <w:tabs>
          <w:tab w:val="left" w:pos="425"/>
        </w:tabs>
        <w:spacing w:line="360" w:lineRule="auto"/>
        <w:ind w:hanging="437"/>
        <w:jc w:val="both"/>
        <w:rPr>
          <w:rFonts w:ascii="David" w:hAnsi="David" w:cs="David"/>
          <w:sz w:val="24"/>
          <w:szCs w:val="24"/>
        </w:rPr>
      </w:pPr>
      <w:r>
        <w:rPr>
          <w:rFonts w:ascii="David" w:eastAsia="Calibri" w:hAnsi="David" w:cs="David"/>
          <w:color w:val="000000"/>
          <w:sz w:val="24"/>
          <w:szCs w:val="24"/>
          <w:rtl/>
        </w:rPr>
        <w:lastRenderedPageBreak/>
        <w:t xml:space="preserve">כך גם יש ליתן משקל רב לסופיות הדיון בהסכמים שקיבלו תוקף של פסק דין, וזאת על מנת </w:t>
      </w:r>
      <w:r>
        <w:rPr>
          <w:rFonts w:ascii="David" w:hAnsi="David" w:cs="David"/>
          <w:sz w:val="24"/>
          <w:szCs w:val="24"/>
          <w:rtl/>
        </w:rPr>
        <w:t>להגשים את ציפיותיהם הסבירות של הצדדים, ובשל החשיבות הרבה שיש לייח</w:t>
      </w:r>
      <w:r w:rsidR="004D5052">
        <w:rPr>
          <w:rFonts w:ascii="David" w:hAnsi="David" w:cs="David"/>
          <w:sz w:val="24"/>
          <w:szCs w:val="24"/>
          <w:rtl/>
        </w:rPr>
        <w:t xml:space="preserve">ס לערך של סופיות הדיון </w:t>
      </w:r>
      <w:r w:rsidR="004D5052">
        <w:rPr>
          <w:rFonts w:ascii="David" w:hAnsi="David" w:cs="David" w:hint="cs"/>
          <w:sz w:val="24"/>
          <w:szCs w:val="24"/>
          <w:rtl/>
        </w:rPr>
        <w:t>(</w:t>
      </w:r>
      <w:r w:rsidR="004D5052">
        <w:rPr>
          <w:rFonts w:ascii="David" w:hAnsi="David" w:cs="David"/>
          <w:sz w:val="24"/>
          <w:szCs w:val="24"/>
          <w:rtl/>
        </w:rPr>
        <w:t xml:space="preserve">ראו: </w:t>
      </w:r>
      <w:r>
        <w:rPr>
          <w:rFonts w:ascii="David" w:hAnsi="David" w:cs="David"/>
          <w:sz w:val="24"/>
          <w:szCs w:val="24"/>
          <w:rtl/>
        </w:rPr>
        <w:t xml:space="preserve"> ע"א 2495/99 </w:t>
      </w:r>
      <w:r>
        <w:rPr>
          <w:rFonts w:ascii="David" w:hAnsi="David" w:cs="David"/>
          <w:b/>
          <w:bCs/>
          <w:sz w:val="24"/>
          <w:szCs w:val="24"/>
          <w:rtl/>
        </w:rPr>
        <w:t>בן לולו נ' אטראש</w:t>
      </w:r>
      <w:r>
        <w:rPr>
          <w:rFonts w:ascii="David" w:hAnsi="David" w:cs="David"/>
          <w:b/>
          <w:bCs/>
          <w:color w:val="000000"/>
          <w:sz w:val="24"/>
          <w:szCs w:val="24"/>
          <w:rtl/>
        </w:rPr>
        <w:t xml:space="preserve"> פ"ד נ"א</w:t>
      </w:r>
      <w:r w:rsidR="004D5052">
        <w:rPr>
          <w:rFonts w:ascii="David" w:hAnsi="David" w:cs="David" w:hint="cs"/>
          <w:sz w:val="24"/>
          <w:szCs w:val="24"/>
          <w:rtl/>
        </w:rPr>
        <w:t>)</w:t>
      </w:r>
      <w:r>
        <w:rPr>
          <w:rFonts w:ascii="David" w:hAnsi="David" w:cs="David"/>
          <w:sz w:val="24"/>
          <w:szCs w:val="24"/>
          <w:rtl/>
        </w:rPr>
        <w:t>.</w:t>
      </w:r>
    </w:p>
    <w:p w:rsidR="00C20DD3" w:rsidRDefault="00C20DD3" w:rsidP="00764023">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hint="cs"/>
          <w:sz w:val="24"/>
          <w:szCs w:val="24"/>
          <w:rtl/>
        </w:rPr>
        <w:t>במקרה דנן, מדובר בהסכם שנחתם על ידי בעלי דין כשירים, שבחרו לפנות לעו"ד על מנת שז</w:t>
      </w:r>
      <w:r w:rsidR="00764023">
        <w:rPr>
          <w:rFonts w:ascii="David" w:hAnsi="David" w:cs="David" w:hint="cs"/>
          <w:sz w:val="24"/>
          <w:szCs w:val="24"/>
          <w:rtl/>
        </w:rPr>
        <w:t>ו</w:t>
      </w:r>
      <w:r>
        <w:rPr>
          <w:rFonts w:ascii="David" w:hAnsi="David" w:cs="David" w:hint="cs"/>
          <w:sz w:val="24"/>
          <w:szCs w:val="24"/>
          <w:rtl/>
        </w:rPr>
        <w:t xml:space="preserve"> </w:t>
      </w:r>
      <w:r w:rsidR="00764023">
        <w:rPr>
          <w:rFonts w:ascii="David" w:hAnsi="David" w:cs="David" w:hint="cs"/>
          <w:sz w:val="24"/>
          <w:szCs w:val="24"/>
          <w:rtl/>
        </w:rPr>
        <w:t>ת</w:t>
      </w:r>
      <w:r>
        <w:rPr>
          <w:rFonts w:ascii="David" w:hAnsi="David" w:cs="David" w:hint="cs"/>
          <w:sz w:val="24"/>
          <w:szCs w:val="24"/>
          <w:rtl/>
        </w:rPr>
        <w:t>כין עבורם הסכם, הג</w:t>
      </w:r>
      <w:r w:rsidR="00512DBA">
        <w:rPr>
          <w:rFonts w:ascii="David" w:hAnsi="David" w:cs="David" w:hint="cs"/>
          <w:sz w:val="24"/>
          <w:szCs w:val="24"/>
          <w:rtl/>
        </w:rPr>
        <w:t>יעו עימ</w:t>
      </w:r>
      <w:r w:rsidR="00764023">
        <w:rPr>
          <w:rFonts w:ascii="David" w:hAnsi="David" w:cs="David" w:hint="cs"/>
          <w:sz w:val="24"/>
          <w:szCs w:val="24"/>
          <w:rtl/>
        </w:rPr>
        <w:t>ה</w:t>
      </w:r>
      <w:r w:rsidR="00512DBA">
        <w:rPr>
          <w:rFonts w:ascii="David" w:hAnsi="David" w:cs="David" w:hint="cs"/>
          <w:sz w:val="24"/>
          <w:szCs w:val="24"/>
          <w:rtl/>
        </w:rPr>
        <w:t xml:space="preserve"> לבית המשפט, ובית המשפט אישר את ההסכם ונתן לו תוקף של פס"ד, ועליהם חלה החובה לכבדו.</w:t>
      </w:r>
    </w:p>
    <w:p w:rsidR="000D324B" w:rsidRDefault="000D324B" w:rsidP="004310A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 xml:space="preserve">רגע לפני סיום בית המשפט לא יכול שלא להתייחס להתנהגות הנתבע בהליכים המשפטיים המתנהלים בפניו, הבאה לידי ביטוי בכוחניות רבה, </w:t>
      </w:r>
      <w:r w:rsidR="00512DBA">
        <w:rPr>
          <w:rFonts w:ascii="David" w:hAnsi="David" w:cs="David" w:hint="cs"/>
          <w:sz w:val="24"/>
          <w:szCs w:val="24"/>
          <w:rtl/>
        </w:rPr>
        <w:t xml:space="preserve">אגרסיביות, גסות ואף בריוניות </w:t>
      </w:r>
      <w:r>
        <w:rPr>
          <w:rFonts w:ascii="David" w:hAnsi="David" w:cs="David"/>
          <w:sz w:val="24"/>
          <w:szCs w:val="24"/>
          <w:rtl/>
        </w:rPr>
        <w:t xml:space="preserve">שהופנתה כלפי ב"כ התובעת, עד כי בית המשפט נאלץ לקנוס אותו בהוצאות. יתר על כן בית המשפט נאלץ להעיר לנתבע מספר רב של פעמים במהלך הדיונים על אופן התנהלותו, התפרצותו לדברי האחר, </w:t>
      </w:r>
      <w:r w:rsidR="00512DBA">
        <w:rPr>
          <w:rFonts w:ascii="David" w:hAnsi="David" w:cs="David" w:hint="cs"/>
          <w:sz w:val="24"/>
          <w:szCs w:val="24"/>
          <w:rtl/>
        </w:rPr>
        <w:t>סגנון הדיבור</w:t>
      </w:r>
      <w:r w:rsidR="004310A8">
        <w:rPr>
          <w:rFonts w:ascii="David" w:hAnsi="David" w:cs="David" w:hint="cs"/>
          <w:sz w:val="24"/>
          <w:szCs w:val="24"/>
          <w:rtl/>
        </w:rPr>
        <w:t>,</w:t>
      </w:r>
      <w:r w:rsidR="00512DBA">
        <w:rPr>
          <w:rFonts w:ascii="David" w:hAnsi="David" w:cs="David" w:hint="cs"/>
          <w:sz w:val="24"/>
          <w:szCs w:val="24"/>
          <w:rtl/>
        </w:rPr>
        <w:t xml:space="preserve"> תוך שי</w:t>
      </w:r>
      <w:r>
        <w:rPr>
          <w:rFonts w:ascii="David" w:hAnsi="David" w:cs="David"/>
          <w:sz w:val="24"/>
          <w:szCs w:val="24"/>
          <w:rtl/>
        </w:rPr>
        <w:t xml:space="preserve">מוש </w:t>
      </w:r>
      <w:r w:rsidR="00512DBA">
        <w:rPr>
          <w:rFonts w:ascii="David" w:hAnsi="David" w:cs="David" w:hint="cs"/>
          <w:sz w:val="24"/>
          <w:szCs w:val="24"/>
          <w:rtl/>
        </w:rPr>
        <w:t>ב</w:t>
      </w:r>
      <w:r>
        <w:rPr>
          <w:rFonts w:ascii="David" w:hAnsi="David" w:cs="David"/>
          <w:sz w:val="24"/>
          <w:szCs w:val="24"/>
          <w:rtl/>
        </w:rPr>
        <w:t>מילים לא מכבדות ומזלזלות כלפי האחר, התנהלות בניגוד לכללי הדין, ולא פחות גרוע מכך, בניגוד לכללי הנימוס והכבוד המקובלים.</w:t>
      </w:r>
    </w:p>
    <w:p w:rsidR="000D324B" w:rsidRDefault="000D324B" w:rsidP="004310A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 xml:space="preserve">יחד עם זאת, וחרף הביקורת של בית המשפט על התנהלות זו, התובעת לא שכנעה את בית המשפט כי זו הסיבה בגינה חתמה על הסכם הממון. התחושה הכללית הינה כי התובעת מבקשת להתנער מהסכם הממון עליו חתמה, בידיעה, בהבנה ומהסיבות שהתאימו לה באותה העת, והיא מבקשת לנצל </w:t>
      </w:r>
      <w:r w:rsidR="004310A8">
        <w:rPr>
          <w:rFonts w:ascii="David" w:hAnsi="David" w:cs="David" w:hint="cs"/>
          <w:sz w:val="24"/>
          <w:szCs w:val="24"/>
          <w:rtl/>
        </w:rPr>
        <w:t xml:space="preserve">את </w:t>
      </w:r>
      <w:r>
        <w:rPr>
          <w:rFonts w:ascii="David" w:hAnsi="David" w:cs="David"/>
          <w:sz w:val="24"/>
          <w:szCs w:val="24"/>
          <w:rtl/>
        </w:rPr>
        <w:t xml:space="preserve">התנהלות הנתבע להצדיק תביעתה, מבלי שיש לכך ביסוס משפטי. </w:t>
      </w:r>
      <w:r w:rsidR="004310A8">
        <w:rPr>
          <w:rFonts w:ascii="David" w:hAnsi="David" w:cs="David" w:hint="cs"/>
          <w:sz w:val="24"/>
          <w:szCs w:val="24"/>
          <w:rtl/>
        </w:rPr>
        <w:t>על אף ש</w:t>
      </w:r>
      <w:r>
        <w:rPr>
          <w:rFonts w:ascii="David" w:hAnsi="David" w:cs="David"/>
          <w:sz w:val="24"/>
          <w:szCs w:val="24"/>
          <w:rtl/>
        </w:rPr>
        <w:t>התנהלותו של הנ</w:t>
      </w:r>
      <w:r w:rsidR="004310A8">
        <w:rPr>
          <w:rFonts w:ascii="David" w:hAnsi="David" w:cs="David"/>
          <w:sz w:val="24"/>
          <w:szCs w:val="24"/>
          <w:rtl/>
        </w:rPr>
        <w:t xml:space="preserve">תבע אינה ראויה, </w:t>
      </w:r>
      <w:r>
        <w:rPr>
          <w:rFonts w:ascii="David" w:hAnsi="David" w:cs="David"/>
          <w:sz w:val="24"/>
          <w:szCs w:val="24"/>
          <w:rtl/>
        </w:rPr>
        <w:t xml:space="preserve">אין היא מצדיקה </w:t>
      </w:r>
      <w:r w:rsidR="004310A8">
        <w:rPr>
          <w:rFonts w:ascii="David" w:hAnsi="David" w:cs="David" w:hint="cs"/>
          <w:sz w:val="24"/>
          <w:szCs w:val="24"/>
          <w:rtl/>
        </w:rPr>
        <w:t>את ביטול ההסכם</w:t>
      </w:r>
      <w:r>
        <w:rPr>
          <w:rFonts w:ascii="David" w:hAnsi="David" w:cs="David"/>
          <w:sz w:val="24"/>
          <w:szCs w:val="24"/>
          <w:rtl/>
        </w:rPr>
        <w:t>.</w:t>
      </w:r>
    </w:p>
    <w:p w:rsidR="000D324B" w:rsidRDefault="000D324B" w:rsidP="000D324B">
      <w:pPr>
        <w:pStyle w:val="ad"/>
        <w:numPr>
          <w:ilvl w:val="0"/>
          <w:numId w:val="1"/>
        </w:numPr>
        <w:tabs>
          <w:tab w:val="left" w:pos="425"/>
        </w:tabs>
        <w:spacing w:line="360" w:lineRule="auto"/>
        <w:ind w:left="0" w:firstLine="283"/>
        <w:jc w:val="both"/>
        <w:rPr>
          <w:rFonts w:ascii="David" w:hAnsi="David" w:cs="David"/>
          <w:b/>
          <w:bCs/>
          <w:sz w:val="24"/>
          <w:szCs w:val="24"/>
          <w:u w:val="single"/>
        </w:rPr>
      </w:pPr>
      <w:r>
        <w:rPr>
          <w:rFonts w:ascii="David" w:hAnsi="David" w:cs="David"/>
          <w:b/>
          <w:bCs/>
          <w:sz w:val="24"/>
          <w:szCs w:val="24"/>
          <w:u w:val="single"/>
          <w:rtl/>
        </w:rPr>
        <w:t xml:space="preserve">נוכח כל המפורט לעיל </w:t>
      </w:r>
      <w:r>
        <w:rPr>
          <w:rFonts w:ascii="David" w:eastAsia="Calibri" w:hAnsi="David" w:cs="David"/>
          <w:b/>
          <w:bCs/>
          <w:color w:val="000000"/>
          <w:sz w:val="24"/>
          <w:szCs w:val="24"/>
          <w:u w:val="single"/>
          <w:rtl/>
        </w:rPr>
        <w:t>תביעת התובעת לביטול הסכם נדחית.</w:t>
      </w:r>
    </w:p>
    <w:p w:rsidR="000D324B" w:rsidRDefault="000D324B" w:rsidP="00961891">
      <w:pPr>
        <w:tabs>
          <w:tab w:val="left" w:pos="425"/>
        </w:tabs>
        <w:ind w:firstLine="283"/>
        <w:jc w:val="both"/>
        <w:rPr>
          <w:rFonts w:ascii="David" w:hAnsi="David"/>
        </w:rPr>
      </w:pPr>
    </w:p>
    <w:p w:rsidR="000D324B" w:rsidRPr="00380A65" w:rsidRDefault="00961891" w:rsidP="00961891">
      <w:pPr>
        <w:pStyle w:val="ad"/>
        <w:tabs>
          <w:tab w:val="left" w:pos="425"/>
        </w:tabs>
        <w:spacing w:line="360" w:lineRule="auto"/>
        <w:ind w:left="0" w:firstLine="283"/>
        <w:jc w:val="both"/>
        <w:rPr>
          <w:rFonts w:ascii="David" w:hAnsi="David" w:cs="David"/>
          <w:b/>
          <w:bCs/>
          <w:sz w:val="28"/>
          <w:szCs w:val="28"/>
          <w:rtl/>
        </w:rPr>
      </w:pPr>
      <w:r w:rsidRPr="00380A65">
        <w:rPr>
          <w:rFonts w:ascii="David" w:hAnsi="David" w:cs="David"/>
          <w:b/>
          <w:bCs/>
          <w:sz w:val="28"/>
          <w:szCs w:val="28"/>
          <w:rtl/>
        </w:rPr>
        <w:t>תלה"מ 25985-06-22</w:t>
      </w:r>
      <w:r>
        <w:rPr>
          <w:rFonts w:ascii="David" w:hAnsi="David" w:cs="David" w:hint="cs"/>
          <w:b/>
          <w:bCs/>
          <w:sz w:val="28"/>
          <w:szCs w:val="28"/>
          <w:rtl/>
        </w:rPr>
        <w:t xml:space="preserve"> </w:t>
      </w:r>
      <w:r>
        <w:rPr>
          <w:rFonts w:ascii="David" w:hAnsi="David" w:cs="David"/>
          <w:b/>
          <w:bCs/>
          <w:sz w:val="28"/>
          <w:szCs w:val="28"/>
          <w:rtl/>
        </w:rPr>
        <w:t>–</w:t>
      </w:r>
      <w:r>
        <w:rPr>
          <w:rFonts w:ascii="David" w:hAnsi="David" w:cs="David" w:hint="cs"/>
          <w:b/>
          <w:bCs/>
          <w:sz w:val="28"/>
          <w:szCs w:val="28"/>
          <w:rtl/>
        </w:rPr>
        <w:t xml:space="preserve"> </w:t>
      </w:r>
      <w:r w:rsidR="000D324B" w:rsidRPr="00380A65">
        <w:rPr>
          <w:rFonts w:ascii="David" w:hAnsi="David" w:cs="David"/>
          <w:b/>
          <w:bCs/>
          <w:sz w:val="28"/>
          <w:szCs w:val="28"/>
          <w:rtl/>
        </w:rPr>
        <w:t>תביע</w:t>
      </w:r>
      <w:r>
        <w:rPr>
          <w:rFonts w:ascii="David" w:hAnsi="David" w:cs="David" w:hint="cs"/>
          <w:b/>
          <w:bCs/>
          <w:sz w:val="28"/>
          <w:szCs w:val="28"/>
          <w:rtl/>
        </w:rPr>
        <w:t xml:space="preserve">ה </w:t>
      </w:r>
      <w:r w:rsidR="000D324B" w:rsidRPr="00380A65">
        <w:rPr>
          <w:rFonts w:ascii="David" w:hAnsi="David" w:cs="David"/>
          <w:b/>
          <w:bCs/>
          <w:sz w:val="28"/>
          <w:szCs w:val="28"/>
          <w:rtl/>
        </w:rPr>
        <w:t>למזונות</w:t>
      </w:r>
      <w:r w:rsidR="00764023">
        <w:rPr>
          <w:rFonts w:ascii="David" w:hAnsi="David" w:cs="David"/>
          <w:b/>
          <w:bCs/>
          <w:sz w:val="28"/>
          <w:szCs w:val="28"/>
          <w:rtl/>
        </w:rPr>
        <w:t xml:space="preserve"> </w:t>
      </w:r>
      <w:r w:rsidR="000D324B" w:rsidRPr="00380A65">
        <w:rPr>
          <w:rFonts w:ascii="David" w:hAnsi="David" w:cs="David"/>
          <w:b/>
          <w:bCs/>
          <w:sz w:val="28"/>
          <w:szCs w:val="28"/>
          <w:rtl/>
        </w:rPr>
        <w:t xml:space="preserve">קטינים </w:t>
      </w:r>
    </w:p>
    <w:p w:rsidR="000D324B" w:rsidRDefault="000D324B" w:rsidP="000D324B">
      <w:pPr>
        <w:tabs>
          <w:tab w:val="left" w:pos="425"/>
        </w:tabs>
        <w:spacing w:line="360" w:lineRule="auto"/>
        <w:ind w:firstLine="283"/>
        <w:jc w:val="both"/>
        <w:rPr>
          <w:rFonts w:ascii="David" w:hAnsi="David"/>
          <w:b/>
          <w:bCs/>
          <w:sz w:val="26"/>
          <w:szCs w:val="26"/>
          <w:u w:val="single"/>
          <w:rtl/>
        </w:rPr>
      </w:pPr>
      <w:r>
        <w:rPr>
          <w:rFonts w:ascii="David" w:hAnsi="David"/>
          <w:b/>
          <w:bCs/>
          <w:sz w:val="26"/>
          <w:szCs w:val="26"/>
          <w:u w:val="single"/>
          <w:rtl/>
        </w:rPr>
        <w:t>טענות התובעת בתמצית:</w:t>
      </w:r>
    </w:p>
    <w:p w:rsidR="000D324B" w:rsidRDefault="000D324B" w:rsidP="00380A65">
      <w:pPr>
        <w:pStyle w:val="ad"/>
        <w:numPr>
          <w:ilvl w:val="0"/>
          <w:numId w:val="1"/>
        </w:numPr>
        <w:tabs>
          <w:tab w:val="left" w:pos="425"/>
        </w:tabs>
        <w:spacing w:line="360" w:lineRule="auto"/>
        <w:ind w:hanging="437"/>
        <w:jc w:val="both"/>
        <w:rPr>
          <w:rFonts w:ascii="David" w:hAnsi="David" w:cs="David"/>
          <w:sz w:val="24"/>
          <w:szCs w:val="24"/>
          <w:rtl/>
        </w:rPr>
      </w:pPr>
      <w:r>
        <w:rPr>
          <w:rFonts w:ascii="David" w:hAnsi="David" w:cs="David"/>
          <w:sz w:val="24"/>
          <w:szCs w:val="24"/>
          <w:rtl/>
        </w:rPr>
        <w:t>לטענת התובעת מאז ינואר 22 נשאה בהוצאות הקטינים ותחזוקת הבית, כאשר הנתבע לא היה מוכן לקחת חלק בתשלומים השוטפים.</w:t>
      </w:r>
    </w:p>
    <w:p w:rsidR="000D324B" w:rsidRDefault="000D324B" w:rsidP="00380A65">
      <w:pPr>
        <w:pStyle w:val="ad"/>
        <w:numPr>
          <w:ilvl w:val="0"/>
          <w:numId w:val="1"/>
        </w:numPr>
        <w:tabs>
          <w:tab w:val="left" w:pos="425"/>
        </w:tabs>
        <w:spacing w:line="360" w:lineRule="auto"/>
        <w:ind w:hanging="437"/>
        <w:jc w:val="both"/>
        <w:rPr>
          <w:rFonts w:ascii="David" w:hAnsi="David" w:cs="David"/>
          <w:sz w:val="24"/>
          <w:szCs w:val="24"/>
        </w:rPr>
      </w:pPr>
      <w:r w:rsidRPr="00D61AAE">
        <w:rPr>
          <w:rFonts w:ascii="David" w:hAnsi="David" w:cs="David"/>
          <w:b/>
          <w:bCs/>
          <w:sz w:val="24"/>
          <w:szCs w:val="24"/>
          <w:rtl/>
        </w:rPr>
        <w:t xml:space="preserve">ביום 16.2.2022 </w:t>
      </w:r>
      <w:r>
        <w:rPr>
          <w:rFonts w:ascii="David" w:hAnsi="David" w:cs="David"/>
          <w:sz w:val="24"/>
          <w:szCs w:val="24"/>
          <w:rtl/>
        </w:rPr>
        <w:t>הגבילה את הפעילות בחשבון הבנק המשותף לשתי חתימות, ולאחר מכן כל אחד מהצדדים משך סך של 10,000 ₪ למחייה.</w:t>
      </w:r>
    </w:p>
    <w:p w:rsidR="000D324B" w:rsidRDefault="000D324B" w:rsidP="00380A65">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זמני השהות של הילדים עם כל אחד מהצדדים נקבעו בהחלטה שניתנה במסגרת הליך י"ס, ביום 7.6.2022, לפיה הקטינים ישהו עם הנתבע פעמיים בשבוע באמצע שבוע, כולל לינה ובכל סופ"ש שני החל מיום שישי ועד ליום ראשון בבוקר, אולם בפועל זמני שהות אלה לא מתקיימים כאמור בהחלטה.</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sidRPr="00D61AAE">
        <w:rPr>
          <w:rFonts w:ascii="David" w:hAnsi="David" w:cs="David"/>
          <w:b/>
          <w:bCs/>
          <w:sz w:val="24"/>
          <w:szCs w:val="24"/>
          <w:rtl/>
        </w:rPr>
        <w:t>ביום 12.9.2022</w:t>
      </w:r>
      <w:r>
        <w:rPr>
          <w:rFonts w:ascii="David" w:hAnsi="David" w:cs="David"/>
          <w:sz w:val="24"/>
          <w:szCs w:val="24"/>
          <w:rtl/>
        </w:rPr>
        <w:t xml:space="preserve"> ניתנה החלטת בית המשפט למזונותיהם הזמניים של הקטינים, אולם זו ניתנה בהתאם לזמני השהות שנקבעו בהחלטה מיום 7.6.2022, ואלה התקיימו רק עד לסוף חודש אוקטובר 2022.</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lastRenderedPageBreak/>
        <w:t>לענין הקטינה - לטענת התובעת הנתבע נהג לשלוח אל הקטינה הודעות מורכבות וקשות להבנה תוך שעירב אותה בסכסוך בין הצדדים. לאחר אירוע נוסף קשה ומורכב בין הקטינה לנתבע, החלה הקטינה להביע חרדה והתנגדות לפגוש את הנתבע.</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במסגרת ההליך הקשור המתנהל בין הצדדים, בענין הקטינים, התקבלו חוות דעת מומחים אשר סיפקו מידע ברור לסיבה בגינה לא מתקיימים זמני שהות בין הנתבע לקטינה, והוכח כי הסיבה לכך הינה התנהלותו הנוקשה, התוקפנית והכוחנית של הנתבע כלפי הקטינה.</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 xml:space="preserve">לטענת התובעת אין כל אמת בטענות הנתבע כאילו הניתוק נגרם בעטיה ומפנה לעדכון שהוגש על ידי המומחית, ד"ר קיבינסון, מיום 11.1.2024, בו נכתב ".... </w:t>
      </w:r>
      <w:r w:rsidRPr="00461291">
        <w:rPr>
          <w:rFonts w:ascii="David" w:hAnsi="David" w:cs="David"/>
          <w:b/>
          <w:bCs/>
          <w:sz w:val="24"/>
          <w:szCs w:val="24"/>
          <w:rtl/>
        </w:rPr>
        <w:t>לא מדובר בשום מצב של ניכור הורי, אלא במצב בו הילדים נרתעים מאביהם, תוקפנותו, עוקצנותו, שנאתו לאמם</w:t>
      </w:r>
      <w:r>
        <w:rPr>
          <w:rFonts w:ascii="David" w:hAnsi="David" w:cs="David"/>
          <w:sz w:val="24"/>
          <w:szCs w:val="24"/>
          <w:rtl/>
        </w:rPr>
        <w:t>...".</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לטענת התובעת, לא רק שהיא נושאת בנטל גידול הקטינה לבדה</w:t>
      </w:r>
      <w:r w:rsidR="00461291">
        <w:rPr>
          <w:rFonts w:ascii="David" w:hAnsi="David" w:cs="David" w:hint="cs"/>
          <w:sz w:val="24"/>
          <w:szCs w:val="24"/>
          <w:rtl/>
        </w:rPr>
        <w:t>,</w:t>
      </w:r>
      <w:r>
        <w:rPr>
          <w:rFonts w:ascii="David" w:hAnsi="David" w:cs="David"/>
          <w:sz w:val="24"/>
          <w:szCs w:val="24"/>
          <w:rtl/>
        </w:rPr>
        <w:t xml:space="preserve"> הנתבע אף לא משלם את מחצית ההוצאות החריגות של הקטינה, שבית המשפט הטיל עליו.</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לענין הקטין – לטענת התובעת התברר במהלך ההליכים המשפטיים, כי במהלך שנת 2023 החל הנתבע באופן קבוע ושיטתי להחזיר את הקטין בשעה 06:00 בבוקר, לבית האם, לאחר שהוא לן בביתו. בימים אלה התובעת היא זו אשר הכינה לו ארוחת בוקר.</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עוד טוענת התובעת כי מאז תחילת שנת הלימודים ב- 9/23 לא נמצא הקטין בצהרון ואילו הנתבע לא אוסף אותו ישירות מהמסגרת החינוכית והוא מגיע לבית התובעת, שם אוכל צהריים. הנתבע אוסף אותו לקיום זמני השהות שלו עימו רק בשעה 15:30 לערך. בפועל, כך לטענת התובעת, הנתבע דואג לארוחת ערב לקטין פעמיים במהלך השבוע.</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לטענת התובעת הנתבע שינה את טענותיו, במהלך ההליך, לגבי הכנסתו, אולם עיון בתלושי השכר מוכיח כי משכורתו נטו עומדת על סך של כ- 13,000 ₪ בחודש.</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עוד מוסיפה התובעת וטוענת כי הנתבע הרוויח במהלך השנים גם כספים במזומן, ונוכח העובדה שלא צירף, חרף החלטות בית המשפט, דפי חשבון בנק מלאים, אין לבית המשפט מידע מלא אודות הכנסותיו. יחד עם זאת לטענת התובעת הנתבע לא ממצה את פוטנציאל השתכרותו למרות שהוא זה שטען שהיה אחראי לפרנסת הבית ומתפקידו לדאוג לצורכי הקטינים כמפרנס עיקרי.</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עוד טוענת התובעת כי הנתבע לא הוכיח בשום שלב את טענותיו באשר להשתתפותו בהוצאות המגורים בבית הוריו.</w:t>
      </w:r>
    </w:p>
    <w:p w:rsidR="000D324B" w:rsidRDefault="000D324B" w:rsidP="00BD69BB">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התובעת עובדת משנת 2011 כשכירה בחברת "</w:t>
      </w:r>
      <w:r w:rsidR="00BD69BB">
        <w:rPr>
          <w:rFonts w:ascii="David" w:hAnsi="David" w:cs="David" w:hint="cs"/>
          <w:sz w:val="24"/>
          <w:szCs w:val="24"/>
          <w:rtl/>
        </w:rPr>
        <w:t>----</w:t>
      </w:r>
      <w:r>
        <w:rPr>
          <w:rFonts w:ascii="David" w:hAnsi="David" w:cs="David"/>
          <w:sz w:val="24"/>
          <w:szCs w:val="24"/>
          <w:rtl/>
        </w:rPr>
        <w:t>" במחלקת הנהלת חשבונות והשתכרותה החודשית הממוצעת עומדת על סך של 8,000 ₪ כולל תווים לרכישת מזון.</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לשיטתה של התובעת אין כיום אפשרויות קידום עבורה במקום העבודה.</w:t>
      </w:r>
    </w:p>
    <w:p w:rsidR="000D324B" w:rsidRDefault="000D324B" w:rsidP="005A4723">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 xml:space="preserve">התובעת טוענת כי אין היא יכולה להגדיל את </w:t>
      </w:r>
      <w:r w:rsidR="005A4723">
        <w:rPr>
          <w:rFonts w:ascii="David" w:hAnsi="David" w:cs="David" w:hint="cs"/>
          <w:sz w:val="24"/>
          <w:szCs w:val="24"/>
          <w:rtl/>
        </w:rPr>
        <w:t>משרתה</w:t>
      </w:r>
      <w:r>
        <w:rPr>
          <w:rFonts w:ascii="David" w:hAnsi="David" w:cs="David"/>
          <w:sz w:val="24"/>
          <w:szCs w:val="24"/>
          <w:rtl/>
        </w:rPr>
        <w:t>, היא עובדת 100% משרה, משלימה שעות עבודה בלילות ונקרעת בין עבודתה לבין הטיפול בשני הקטינים.</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התובעת העמידה את צרכי הקטינה על סך של 5,142 ₪ לא כולל הוצאות מדור, ואת צרכי הקטין על סך של 2,327 ₪ לא כולל הוצאות מדור.</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lastRenderedPageBreak/>
        <w:t>את הוצאות אחזקת המדור העמידה התובעת על סך של 3,040 ₪ לחודש.</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התובעת עותרת לחייב את הנתבע בשיעור של 70% מדמי מזונות הקטינים, צמוד למדד. בעבור הקטינה עותרת התובעת לחיוב מאז 1.11.2022. בנוסף, עותרת התובעת לחייב את הנתבע לשאת במחצית הוצאות החינוך המיוחדות והחריגות של הקטינים ומחצית מההוצאות הרפואיות המיוחדות והחריגות שלהם. בנוסף, חיוב הנתבע בהוצאות מדור הקטינים.</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עוד עותרת התובעת להורות כי קצבת הילדים וכל קצבה אחרת תשולם לה.</w:t>
      </w:r>
    </w:p>
    <w:p w:rsidR="000D324B" w:rsidRDefault="000D324B" w:rsidP="000D324B">
      <w:pPr>
        <w:tabs>
          <w:tab w:val="left" w:pos="425"/>
        </w:tabs>
        <w:spacing w:line="360" w:lineRule="auto"/>
        <w:ind w:firstLine="283"/>
        <w:jc w:val="both"/>
        <w:rPr>
          <w:rFonts w:ascii="David" w:hAnsi="David"/>
          <w:b/>
          <w:bCs/>
          <w:sz w:val="26"/>
          <w:szCs w:val="26"/>
          <w:u w:val="single"/>
        </w:rPr>
      </w:pPr>
      <w:r>
        <w:rPr>
          <w:rFonts w:ascii="David" w:hAnsi="David"/>
          <w:b/>
          <w:bCs/>
          <w:sz w:val="26"/>
          <w:szCs w:val="26"/>
          <w:u w:val="single"/>
          <w:rtl/>
        </w:rPr>
        <w:t>טענות הנתבע בתמצית:</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tl/>
        </w:rPr>
      </w:pPr>
      <w:r>
        <w:rPr>
          <w:rFonts w:ascii="David" w:hAnsi="David" w:cs="David"/>
          <w:sz w:val="24"/>
          <w:szCs w:val="24"/>
          <w:rtl/>
        </w:rPr>
        <w:t>לטענת הנתבע התובעת חסמה את חשבון הבנק המשותף של הצדדים, פגעה בו כלכלית לאחר שהעבירה לחשבונה הפרטי סך של 100,000 ₪.</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התובעת בחרה להקטין את שעות העובדה שלה בעילה מופרכת כאילו צריכה ללוות את הקטינים לבית הספר</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לטענת הנתבע בטרם ההליכים הוא השתכר 12,500 ₪ נטו בחודש.</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מתחילת 2023 טוען הנתבע כי נאלץ להקטין ב- 30-40 שעות עבודה בחודש על מנת להמשיך "במהות ההורית" (כך לדבריו) תוך שאינו מסכים לוותר עליה ומקיים זמני שהות עם הקטין.</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משכורתו של הנתבע ירדה לסך של 9,400 ₪ בחודש, וזוהי משכורתו גם היום.</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לשיטתו של הנתבע כיום אינו יכול להשלים שעות עבודה, כפי שעשה טרם הפרידה, למרות ניסיונותיו, כי אין לכך דרישה מאת המעסיק.</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לטענת הנתבע התובעת שינתה גרסאות לגבי השתכרותה ולא ברור על איזו משרת אם היא מדברת כאשר מדובר בקטינים בני 9 ו- 13.</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לשיטתו של הנתבע התובעת אינה עובדת במשרה מלאה ויש לקבוע את השתכרותה לפי משרה מלאה בסך של 13,000 ₪ נטו בחודש.</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הנתבע טוען כי התובעת העלתה גרסאות שונות לגבי תווי קניה ובפועל היא מקבלת 5 תווי קניה על סך ש</w:t>
      </w:r>
      <w:r w:rsidR="005A4723">
        <w:rPr>
          <w:rFonts w:ascii="David" w:hAnsi="David" w:cs="David"/>
          <w:sz w:val="24"/>
          <w:szCs w:val="24"/>
          <w:rtl/>
        </w:rPr>
        <w:t>ל 500 ₪ כל אחד ובסך הכל 2,500 ש</w:t>
      </w:r>
      <w:r w:rsidR="005A4723">
        <w:rPr>
          <w:rFonts w:ascii="David" w:hAnsi="David" w:cs="David" w:hint="cs"/>
          <w:sz w:val="24"/>
          <w:szCs w:val="24"/>
          <w:rtl/>
        </w:rPr>
        <w:t>"</w:t>
      </w:r>
      <w:r>
        <w:rPr>
          <w:rFonts w:ascii="David" w:hAnsi="David" w:cs="David"/>
          <w:sz w:val="24"/>
          <w:szCs w:val="24"/>
          <w:rtl/>
        </w:rPr>
        <w:t>ח ללא ניכוי ללא גילום וללא תשלום מס.</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עוד טוען הנתבע כי התובעת מקבלת בונוסים, ומדובר בסכום גבוה מזה שהצהירה עליו.</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עוד טוען הנתבע כי שכרה של התובעת יעלה באותה המגמה כך שבעוד שנתיים תהא גבוהה מזו שהיתה בתחילת ההליך ב- 31.5% יותר.</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 xml:space="preserve">הנתבע מוסיף וטוען כי בדפי חשבון הבנק של התובעת נראות הפקדות של מזומנים והעברות ב- </w:t>
      </w:r>
      <w:r>
        <w:rPr>
          <w:rFonts w:ascii="David" w:hAnsi="David" w:cs="David"/>
          <w:sz w:val="24"/>
          <w:szCs w:val="24"/>
        </w:rPr>
        <w:t>BIT</w:t>
      </w:r>
      <w:r>
        <w:rPr>
          <w:rFonts w:ascii="David" w:hAnsi="David" w:cs="David"/>
          <w:sz w:val="24"/>
          <w:szCs w:val="24"/>
          <w:rtl/>
        </w:rPr>
        <w:t>.</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את צרכי הקטינים יש לקבוע לפי רמת החיים לה הורגלו ערב הפירוד, כך לטענת הנתבע, היכולת הכלכלית של הצדדים ולא רק הכנסותיהם הפנויות, וכן על פי חלוקת האחריות ההורית בהתאם להלכת 919/15 של בית המשפט העליון.</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מועד הפירוד לטענת הנתבע הינו 1/22.</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lastRenderedPageBreak/>
        <w:t>לטענת הנתבע הוא מתגורר עם הוריו מ- 4/22. מאז ועד סוף שנת 2022 שילם 2,000 ₪ הוצאות מדור ומשנת 2023 משלם 3,000 ₪ הוצאות מדור.</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לטענת הנתבע בהח</w:t>
      </w:r>
      <w:r w:rsidR="005A4723">
        <w:rPr>
          <w:rFonts w:ascii="David" w:hAnsi="David" w:cs="David" w:hint="cs"/>
          <w:sz w:val="24"/>
          <w:szCs w:val="24"/>
          <w:rtl/>
        </w:rPr>
        <w:t>ל</w:t>
      </w:r>
      <w:r>
        <w:rPr>
          <w:rFonts w:ascii="David" w:hAnsi="David" w:cs="David"/>
          <w:sz w:val="24"/>
          <w:szCs w:val="24"/>
          <w:rtl/>
        </w:rPr>
        <w:t>טה למזונות זמניים נקבעה התובעת כהורה מרכז לרכישת ביגוד והנעלה ובפועל היא לא עושה כן והוא רוכש את הביגוד וההנעלה לקטינים, למעט חולצות עם סמל בית הספר.</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הנתבע מסכם את הוצאותיו בסך של</w:t>
      </w:r>
      <w:r w:rsidR="005A4723">
        <w:rPr>
          <w:rFonts w:ascii="David" w:hAnsi="David" w:cs="David"/>
          <w:sz w:val="24"/>
          <w:szCs w:val="24"/>
          <w:rtl/>
        </w:rPr>
        <w:t xml:space="preserve"> 10,500 ש</w:t>
      </w:r>
      <w:r w:rsidR="005A4723">
        <w:rPr>
          <w:rFonts w:ascii="David" w:hAnsi="David" w:cs="David" w:hint="cs"/>
          <w:sz w:val="24"/>
          <w:szCs w:val="24"/>
          <w:rtl/>
        </w:rPr>
        <w:t>"</w:t>
      </w:r>
      <w:r>
        <w:rPr>
          <w:rFonts w:ascii="David" w:hAnsi="David" w:cs="David"/>
          <w:sz w:val="24"/>
          <w:szCs w:val="24"/>
          <w:rtl/>
        </w:rPr>
        <w:t xml:space="preserve">ח בחודש ללא הוצאות טלוויזיה </w:t>
      </w:r>
      <w:r w:rsidR="005A4723">
        <w:rPr>
          <w:rFonts w:ascii="David" w:hAnsi="David" w:cs="David" w:hint="cs"/>
          <w:sz w:val="24"/>
          <w:szCs w:val="24"/>
          <w:rtl/>
        </w:rPr>
        <w:t>ואינטרנט</w:t>
      </w:r>
      <w:r>
        <w:rPr>
          <w:rFonts w:ascii="David" w:hAnsi="David" w:cs="David"/>
          <w:sz w:val="24"/>
          <w:szCs w:val="24"/>
          <w:rtl/>
        </w:rPr>
        <w:t>. את הוצאות התובעת מסכם הנתבע בסך של כ- 12,000 ₪.</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הוצאותיו של הקטין, כשהוא עם התובעת, לטענת הנתבע, עומדות על סך של 1,177 ₪ בחודש. והוצאותיה של הקטינה, מסתכמות לסך של 2,182 ₪ בחודש.</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 xml:space="preserve">לטענת הנתבע מדובר בקטינים מעל גיל 6 ועל כן חישוב מזונותיהם מתבצע מדין צדקה. </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התובעת לא עמדה בנטל להוכיח את הוצאות הקטינים.</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בשל התנהלות התובעת, לגבי טיפולים לקטינים, יש לשיטתו להורות כי היא זו שתישא ב- 80% או 100% מהוצאות הטיפולים הנפשיים והפסיכיאטרים של הקטינים, וכך גם לגבי הוצאות החינוך החריגות שלהם.</w:t>
      </w:r>
    </w:p>
    <w:p w:rsidR="000D324B" w:rsidRDefault="005A4723"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לגבי הוצאות המדו</w:t>
      </w:r>
      <w:r w:rsidR="000D324B">
        <w:rPr>
          <w:rFonts w:ascii="David" w:hAnsi="David" w:cs="David"/>
          <w:sz w:val="24"/>
          <w:szCs w:val="24"/>
          <w:rtl/>
        </w:rPr>
        <w:t>ר טוען הנתבע כי התובעת הפריזה בסכומים ולא תמכה את הסכומים באסמכתאות ולשיטתו סך תשלומי המדור של התובעת מסתכם ב- 740 ₪ בחודש בלבד.</w:t>
      </w:r>
    </w:p>
    <w:p w:rsidR="000D324B" w:rsidRDefault="000D324B" w:rsidP="00961891">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 xml:space="preserve">לטענת הנתבע יש להעמיד את הכנסתו האופטימלית על סך של 9,400 ₪ בחודש, את השתכרותה הפוטנציאלית של התובעת על סך של 14,400 ₪ בחודש, לחייב את התובעת לשאת ב- 60% מתשלומי המזונות </w:t>
      </w:r>
      <w:r w:rsidR="00961891">
        <w:rPr>
          <w:rFonts w:ascii="David" w:hAnsi="David" w:cs="David"/>
          <w:sz w:val="24"/>
          <w:szCs w:val="24"/>
          <w:rtl/>
        </w:rPr>
        <w:t xml:space="preserve">של הקטינים מאז </w:t>
      </w:r>
      <w:r w:rsidR="00961891">
        <w:rPr>
          <w:rFonts w:ascii="David" w:hAnsi="David" w:cs="David" w:hint="cs"/>
          <w:sz w:val="24"/>
          <w:szCs w:val="24"/>
          <w:rtl/>
        </w:rPr>
        <w:t>1/22</w:t>
      </w:r>
      <w:r>
        <w:rPr>
          <w:rFonts w:ascii="David" w:hAnsi="David" w:cs="David"/>
          <w:sz w:val="24"/>
          <w:szCs w:val="24"/>
          <w:rtl/>
        </w:rPr>
        <w:t>, ובאותו שיעור בהוצאות המדור של הקטינים. כמו כן יש לחייבה בהוצאות חד צדדיות שהוציא על הקטינים בגובה של 60%.</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לשיטתו של הנתבע יש להכריז על הקטינה כמורדת ולהפסיק את תשלומי המזונות עבורה.</w:t>
      </w:r>
    </w:p>
    <w:p w:rsidR="000D324B" w:rsidRDefault="000D324B" w:rsidP="00826BC0">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לחייב את התובעת ב- 100% מעלויות החוגים, שיעורי העז</w:t>
      </w:r>
      <w:r w:rsidR="00826BC0">
        <w:rPr>
          <w:rFonts w:ascii="David" w:hAnsi="David" w:cs="David" w:hint="cs"/>
          <w:sz w:val="24"/>
          <w:szCs w:val="24"/>
          <w:rtl/>
        </w:rPr>
        <w:t>ר</w:t>
      </w:r>
      <w:r>
        <w:rPr>
          <w:rFonts w:ascii="David" w:hAnsi="David" w:cs="David"/>
          <w:sz w:val="24"/>
          <w:szCs w:val="24"/>
          <w:rtl/>
        </w:rPr>
        <w:t xml:space="preserve"> של הקטינים.</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כמו כן יש לחלק את דמי ילדים ותשלומי ביטוח לאומי בין הצדדים.</w:t>
      </w:r>
    </w:p>
    <w:p w:rsidR="000D324B" w:rsidRDefault="000D324B" w:rsidP="00EB7718">
      <w:pPr>
        <w:tabs>
          <w:tab w:val="left" w:pos="425"/>
        </w:tabs>
        <w:spacing w:line="360" w:lineRule="auto"/>
        <w:jc w:val="both"/>
        <w:rPr>
          <w:rFonts w:ascii="David" w:hAnsi="David"/>
          <w:b/>
          <w:bCs/>
          <w:sz w:val="26"/>
          <w:szCs w:val="26"/>
          <w:u w:val="single"/>
          <w:rtl/>
        </w:rPr>
      </w:pPr>
      <w:r>
        <w:rPr>
          <w:rFonts w:ascii="David" w:hAnsi="David"/>
          <w:b/>
          <w:bCs/>
          <w:sz w:val="26"/>
          <w:szCs w:val="26"/>
          <w:u w:val="single"/>
          <w:rtl/>
        </w:rPr>
        <w:t>מתווה נורמטיבי</w:t>
      </w:r>
      <w:r w:rsidR="00EB7718">
        <w:rPr>
          <w:rFonts w:ascii="David" w:hAnsi="David" w:hint="cs"/>
          <w:b/>
          <w:bCs/>
          <w:sz w:val="26"/>
          <w:szCs w:val="26"/>
          <w:u w:val="single"/>
          <w:rtl/>
        </w:rPr>
        <w:t>:</w:t>
      </w:r>
    </w:p>
    <w:p w:rsidR="000D324B" w:rsidRDefault="000D324B" w:rsidP="00EB7718">
      <w:pPr>
        <w:pStyle w:val="ad"/>
        <w:numPr>
          <w:ilvl w:val="0"/>
          <w:numId w:val="1"/>
        </w:numPr>
        <w:tabs>
          <w:tab w:val="left" w:pos="425"/>
        </w:tabs>
        <w:spacing w:line="360" w:lineRule="auto"/>
        <w:ind w:hanging="437"/>
        <w:jc w:val="both"/>
        <w:rPr>
          <w:rFonts w:ascii="David" w:hAnsi="David" w:cs="David"/>
          <w:b/>
          <w:bCs/>
          <w:sz w:val="24"/>
          <w:szCs w:val="24"/>
          <w:rtl/>
        </w:rPr>
      </w:pPr>
      <w:r>
        <w:rPr>
          <w:rFonts w:ascii="David" w:hAnsi="David" w:cs="David"/>
          <w:sz w:val="24"/>
          <w:szCs w:val="24"/>
          <w:rtl/>
        </w:rPr>
        <w:t xml:space="preserve">בבוא ביהמ"ש לפסוק את גובה מזונות הילדים, עליו לקבוע ממצאים עובדתיים ביחס לארבעה פרמטרים עיקריים: </w:t>
      </w:r>
      <w:r>
        <w:rPr>
          <w:rFonts w:ascii="David" w:hAnsi="David" w:cs="David"/>
          <w:b/>
          <w:bCs/>
          <w:sz w:val="24"/>
          <w:szCs w:val="24"/>
          <w:rtl/>
        </w:rPr>
        <w:t>א. צרכי הקטינים</w:t>
      </w:r>
      <w:r>
        <w:rPr>
          <w:rFonts w:ascii="David" w:hAnsi="David" w:cs="David"/>
          <w:sz w:val="24"/>
          <w:szCs w:val="24"/>
          <w:rtl/>
        </w:rPr>
        <w:t xml:space="preserve">; </w:t>
      </w:r>
      <w:r>
        <w:rPr>
          <w:rFonts w:ascii="David" w:hAnsi="David" w:cs="David"/>
          <w:b/>
          <w:bCs/>
          <w:sz w:val="24"/>
          <w:szCs w:val="24"/>
          <w:rtl/>
        </w:rPr>
        <w:t>ב.</w:t>
      </w:r>
      <w:r>
        <w:rPr>
          <w:rFonts w:ascii="David" w:hAnsi="David" w:cs="David"/>
          <w:sz w:val="24"/>
          <w:szCs w:val="24"/>
          <w:rtl/>
        </w:rPr>
        <w:t xml:space="preserve"> </w:t>
      </w:r>
      <w:r>
        <w:rPr>
          <w:rFonts w:ascii="David" w:hAnsi="David" w:cs="David"/>
          <w:b/>
          <w:bCs/>
          <w:sz w:val="24"/>
          <w:szCs w:val="24"/>
          <w:rtl/>
        </w:rPr>
        <w:t xml:space="preserve">היכולות הכלכליות של ההורים </w:t>
      </w:r>
      <w:r>
        <w:rPr>
          <w:rFonts w:ascii="David" w:hAnsi="David" w:cs="David"/>
          <w:sz w:val="24"/>
          <w:szCs w:val="24"/>
          <w:rtl/>
        </w:rPr>
        <w:t xml:space="preserve"> (כשיש לקבוע את היכולות הכלכליות של כל אחד מההורים מכל המקורות העומדים לרשותם לרבות שכר עבודה ורכוש); </w:t>
      </w:r>
      <w:r>
        <w:rPr>
          <w:rFonts w:ascii="David" w:hAnsi="David" w:cs="David"/>
          <w:b/>
          <w:bCs/>
          <w:sz w:val="24"/>
          <w:szCs w:val="24"/>
          <w:rtl/>
        </w:rPr>
        <w:t>ג. קביעת היחס של היכולת הכלכלית של ההורים, האחד מול רעהו</w:t>
      </w:r>
      <w:r>
        <w:rPr>
          <w:rFonts w:ascii="David" w:hAnsi="David" w:cs="David"/>
          <w:sz w:val="24"/>
          <w:szCs w:val="24"/>
          <w:rtl/>
        </w:rPr>
        <w:t xml:space="preserve">; </w:t>
      </w:r>
      <w:r>
        <w:rPr>
          <w:rFonts w:ascii="David" w:hAnsi="David" w:cs="David"/>
          <w:b/>
          <w:bCs/>
          <w:sz w:val="24"/>
          <w:szCs w:val="24"/>
          <w:rtl/>
        </w:rPr>
        <w:t>ד. חלוקת זמני השהות בפועל</w:t>
      </w:r>
      <w:r>
        <w:rPr>
          <w:rFonts w:ascii="David" w:hAnsi="David" w:cs="David"/>
          <w:sz w:val="24"/>
          <w:szCs w:val="24"/>
          <w:rtl/>
        </w:rPr>
        <w:t xml:space="preserve">. (ראו: עמ"ש (ת"א) 14612-10-16 </w:t>
      </w:r>
      <w:r>
        <w:rPr>
          <w:rFonts w:ascii="David" w:hAnsi="David" w:cs="David"/>
          <w:b/>
          <w:bCs/>
          <w:sz w:val="24"/>
          <w:szCs w:val="24"/>
          <w:rtl/>
        </w:rPr>
        <w:t xml:space="preserve">פ.ב. נ' א.ב. </w:t>
      </w:r>
      <w:r>
        <w:rPr>
          <w:rFonts w:ascii="David" w:hAnsi="David" w:cs="David"/>
          <w:sz w:val="24"/>
          <w:szCs w:val="24"/>
          <w:rtl/>
        </w:rPr>
        <w:t>(20.12.17) פס' 8;</w:t>
      </w:r>
      <w:r>
        <w:rPr>
          <w:rFonts w:ascii="David" w:hAnsi="David" w:cs="David"/>
          <w:b/>
          <w:bCs/>
          <w:sz w:val="24"/>
          <w:szCs w:val="24"/>
          <w:rtl/>
        </w:rPr>
        <w:t xml:space="preserve"> </w:t>
      </w:r>
      <w:r>
        <w:rPr>
          <w:rFonts w:ascii="David" w:hAnsi="David" w:cs="David"/>
          <w:sz w:val="24"/>
          <w:szCs w:val="24"/>
          <w:rtl/>
        </w:rPr>
        <w:t xml:space="preserve">הבע"מ בפס' 93, 142, 147 לפסק דינו של השופט פוגלמן (כתוארו אז)). </w:t>
      </w:r>
    </w:p>
    <w:p w:rsidR="000D324B" w:rsidRDefault="000D324B" w:rsidP="00EB7718">
      <w:pPr>
        <w:pStyle w:val="ad"/>
        <w:numPr>
          <w:ilvl w:val="0"/>
          <w:numId w:val="1"/>
        </w:numPr>
        <w:tabs>
          <w:tab w:val="left" w:pos="425"/>
        </w:tabs>
        <w:spacing w:line="360" w:lineRule="auto"/>
        <w:ind w:hanging="437"/>
        <w:jc w:val="both"/>
        <w:rPr>
          <w:rFonts w:ascii="David" w:hAnsi="David" w:cs="David"/>
          <w:b/>
          <w:bCs/>
          <w:sz w:val="24"/>
          <w:szCs w:val="24"/>
        </w:rPr>
      </w:pPr>
      <w:r>
        <w:rPr>
          <w:rFonts w:ascii="David" w:hAnsi="David" w:cs="David"/>
          <w:sz w:val="24"/>
          <w:szCs w:val="24"/>
          <w:rtl/>
        </w:rPr>
        <w:t xml:space="preserve">לגבי קטינים מעל גיל 6 נקבע בבע"מ 919/15 </w:t>
      </w:r>
      <w:r>
        <w:rPr>
          <w:rFonts w:ascii="Miriam" w:hAnsi="Miriam" w:cs="Miriam"/>
          <w:b/>
          <w:bCs/>
          <w:sz w:val="24"/>
          <w:szCs w:val="24"/>
          <w:rtl/>
        </w:rPr>
        <w:t>פלוני נ' פלונית</w:t>
      </w:r>
      <w:r>
        <w:rPr>
          <w:rFonts w:ascii="David" w:hAnsi="David" w:cs="David"/>
          <w:sz w:val="24"/>
          <w:szCs w:val="24"/>
          <w:rtl/>
        </w:rPr>
        <w:t xml:space="preserve"> (פורסם בנבו 19.07.2017) (להלן: "</w:t>
      </w:r>
      <w:r>
        <w:rPr>
          <w:rFonts w:ascii="David" w:hAnsi="David" w:cs="David"/>
          <w:b/>
          <w:bCs/>
          <w:sz w:val="24"/>
          <w:szCs w:val="24"/>
          <w:rtl/>
        </w:rPr>
        <w:t>הלכת בע"מ 919/15</w:t>
      </w:r>
      <w:r>
        <w:rPr>
          <w:rFonts w:ascii="David" w:hAnsi="David" w:cs="David"/>
          <w:sz w:val="24"/>
          <w:szCs w:val="24"/>
          <w:rtl/>
        </w:rPr>
        <w:t>") כי שני הוריו יישאו יחדיו במזונותיהם</w:t>
      </w:r>
      <w:r>
        <w:rPr>
          <w:rFonts w:ascii="David" w:hAnsi="David" w:cs="David"/>
          <w:b/>
          <w:bCs/>
          <w:sz w:val="24"/>
          <w:szCs w:val="24"/>
          <w:rtl/>
        </w:rPr>
        <w:t xml:space="preserve"> כאשר יש</w:t>
      </w:r>
      <w:r>
        <w:rPr>
          <w:rFonts w:ascii="David" w:hAnsi="David" w:cs="David"/>
          <w:sz w:val="28"/>
          <w:szCs w:val="28"/>
          <w:rtl/>
        </w:rPr>
        <w:t xml:space="preserve"> </w:t>
      </w:r>
      <w:r>
        <w:rPr>
          <w:rFonts w:ascii="David" w:hAnsi="David" w:cs="David"/>
          <w:b/>
          <w:bCs/>
          <w:sz w:val="24"/>
          <w:szCs w:val="24"/>
          <w:rtl/>
        </w:rPr>
        <w:t xml:space="preserve">"להביא בחשבון את מכלול הנסיבות הכלכליות של שני ההורים לרבות הכנסותיהם הפנויות, </w:t>
      </w:r>
      <w:r>
        <w:rPr>
          <w:rFonts w:ascii="David" w:hAnsi="David" w:cs="David"/>
          <w:b/>
          <w:bCs/>
          <w:sz w:val="24"/>
          <w:szCs w:val="24"/>
          <w:rtl/>
        </w:rPr>
        <w:lastRenderedPageBreak/>
        <w:t>המשמעות הכלכלית של הפירוד ביחס לכל אחד מן ההורים, הנטל הכרוך במשמורת הפיזית המשותפת מצד כל אחד ועד כמה זו נחלקת באופן שוויוני בין השניים".</w:t>
      </w:r>
    </w:p>
    <w:p w:rsidR="000D324B" w:rsidRDefault="000D324B" w:rsidP="008753A9">
      <w:pPr>
        <w:pStyle w:val="ad"/>
        <w:numPr>
          <w:ilvl w:val="0"/>
          <w:numId w:val="1"/>
        </w:numPr>
        <w:tabs>
          <w:tab w:val="left" w:pos="425"/>
        </w:tabs>
        <w:spacing w:line="360" w:lineRule="auto"/>
        <w:ind w:left="0" w:firstLine="283"/>
        <w:jc w:val="both"/>
        <w:rPr>
          <w:rFonts w:ascii="David" w:hAnsi="David" w:cs="David"/>
          <w:sz w:val="24"/>
          <w:szCs w:val="24"/>
        </w:rPr>
      </w:pPr>
      <w:r>
        <w:rPr>
          <w:rFonts w:ascii="David" w:hAnsi="David" w:cs="David"/>
          <w:sz w:val="24"/>
          <w:szCs w:val="24"/>
          <w:rtl/>
        </w:rPr>
        <w:t>במקרה דנן, כאשר מדובר בקטינים מעל גיל 6, יבחנו להלן מלוא הפרמטרים.</w:t>
      </w:r>
    </w:p>
    <w:p w:rsidR="000D324B" w:rsidRDefault="000D324B" w:rsidP="00EB7718">
      <w:pPr>
        <w:tabs>
          <w:tab w:val="left" w:pos="425"/>
        </w:tabs>
        <w:spacing w:line="360" w:lineRule="auto"/>
        <w:jc w:val="both"/>
        <w:rPr>
          <w:rFonts w:ascii="David" w:hAnsi="David"/>
          <w:b/>
          <w:bCs/>
          <w:u w:val="single"/>
        </w:rPr>
      </w:pPr>
      <w:r>
        <w:rPr>
          <w:rFonts w:ascii="David" w:hAnsi="David"/>
          <w:b/>
          <w:bCs/>
          <w:u w:val="single"/>
          <w:rtl/>
        </w:rPr>
        <w:t>הכנסות הצדדים:</w:t>
      </w:r>
    </w:p>
    <w:p w:rsidR="000D324B" w:rsidRDefault="000D324B" w:rsidP="00EB7718">
      <w:pPr>
        <w:tabs>
          <w:tab w:val="left" w:pos="425"/>
        </w:tabs>
        <w:spacing w:line="360" w:lineRule="auto"/>
        <w:jc w:val="both"/>
        <w:rPr>
          <w:rFonts w:ascii="David" w:hAnsi="David"/>
          <w:b/>
          <w:bCs/>
          <w:u w:val="single"/>
          <w:rtl/>
        </w:rPr>
      </w:pPr>
      <w:r>
        <w:rPr>
          <w:rFonts w:ascii="David" w:hAnsi="David"/>
          <w:b/>
          <w:bCs/>
          <w:u w:val="single"/>
          <w:rtl/>
        </w:rPr>
        <w:t>הכנסות התובעת</w:t>
      </w:r>
    </w:p>
    <w:p w:rsidR="000D324B" w:rsidRPr="001D44CB" w:rsidRDefault="000D324B" w:rsidP="00BD69BB">
      <w:pPr>
        <w:pStyle w:val="ad"/>
        <w:numPr>
          <w:ilvl w:val="0"/>
          <w:numId w:val="1"/>
        </w:numPr>
        <w:tabs>
          <w:tab w:val="left" w:pos="425"/>
        </w:tabs>
        <w:spacing w:line="360" w:lineRule="auto"/>
        <w:ind w:hanging="437"/>
        <w:jc w:val="both"/>
        <w:rPr>
          <w:rFonts w:ascii="David" w:hAnsi="David" w:cs="David"/>
          <w:sz w:val="24"/>
          <w:szCs w:val="24"/>
          <w:rtl/>
        </w:rPr>
      </w:pPr>
      <w:r w:rsidRPr="001D44CB">
        <w:rPr>
          <w:rFonts w:ascii="David" w:hAnsi="David" w:cs="David"/>
          <w:sz w:val="24"/>
          <w:szCs w:val="24"/>
          <w:rtl/>
        </w:rPr>
        <w:t>התובעת עובדת ב</w:t>
      </w:r>
      <w:r w:rsidR="00BD69BB">
        <w:rPr>
          <w:rFonts w:ascii="David" w:hAnsi="David" w:cs="David" w:hint="cs"/>
          <w:sz w:val="24"/>
          <w:szCs w:val="24"/>
          <w:rtl/>
        </w:rPr>
        <w:t>----</w:t>
      </w:r>
      <w:r w:rsidRPr="001D44CB">
        <w:rPr>
          <w:rFonts w:ascii="David" w:hAnsi="David" w:cs="David"/>
          <w:sz w:val="24"/>
          <w:szCs w:val="24"/>
          <w:rtl/>
        </w:rPr>
        <w:t xml:space="preserve">, </w:t>
      </w:r>
      <w:r w:rsidR="00826BC0">
        <w:rPr>
          <w:rFonts w:ascii="David" w:hAnsi="David" w:cs="David" w:hint="cs"/>
          <w:sz w:val="24"/>
          <w:szCs w:val="24"/>
          <w:rtl/>
        </w:rPr>
        <w:t>כמ</w:t>
      </w:r>
      <w:r w:rsidRPr="001D44CB">
        <w:rPr>
          <w:rFonts w:ascii="David" w:hAnsi="David" w:cs="David"/>
          <w:sz w:val="24"/>
          <w:szCs w:val="24"/>
          <w:rtl/>
        </w:rPr>
        <w:t>נהלת חשבונות. מ</w:t>
      </w:r>
      <w:r w:rsidR="001D44CB" w:rsidRPr="001D44CB">
        <w:rPr>
          <w:rFonts w:ascii="David" w:hAnsi="David" w:cs="David" w:hint="cs"/>
          <w:sz w:val="24"/>
          <w:szCs w:val="24"/>
          <w:rtl/>
        </w:rPr>
        <w:t xml:space="preserve">כל </w:t>
      </w:r>
      <w:r w:rsidRPr="001D44CB">
        <w:rPr>
          <w:rFonts w:ascii="David" w:hAnsi="David" w:cs="David"/>
          <w:sz w:val="24"/>
          <w:szCs w:val="24"/>
          <w:rtl/>
        </w:rPr>
        <w:t xml:space="preserve">תלושי השכר אשר הומצאו לבית המשפט </w:t>
      </w:r>
      <w:r w:rsidR="001D44CB" w:rsidRPr="001D44CB">
        <w:rPr>
          <w:rFonts w:ascii="David" w:hAnsi="David" w:cs="David" w:hint="cs"/>
          <w:sz w:val="24"/>
          <w:szCs w:val="24"/>
          <w:rtl/>
        </w:rPr>
        <w:t xml:space="preserve">במהלך ההליך, </w:t>
      </w:r>
      <w:r w:rsidRPr="001D44CB">
        <w:rPr>
          <w:rFonts w:ascii="David" w:hAnsi="David" w:cs="David"/>
          <w:sz w:val="24"/>
          <w:szCs w:val="24"/>
          <w:rtl/>
        </w:rPr>
        <w:t xml:space="preserve">עולה כי הכנסתה החודשית הממוצעת של התובעת, ברוטו, </w:t>
      </w:r>
      <w:r w:rsidR="001D44CB" w:rsidRPr="001D44CB">
        <w:rPr>
          <w:rFonts w:ascii="David" w:hAnsi="David" w:cs="David"/>
          <w:sz w:val="24"/>
          <w:szCs w:val="24"/>
          <w:rtl/>
        </w:rPr>
        <w:t>מסתכמת בסך של כ- 11,000 ₪ בחודש</w:t>
      </w:r>
      <w:r w:rsidR="001D44CB" w:rsidRPr="001D44CB">
        <w:rPr>
          <w:rFonts w:ascii="David" w:hAnsi="David" w:cs="David" w:hint="cs"/>
          <w:sz w:val="24"/>
          <w:szCs w:val="24"/>
          <w:rtl/>
        </w:rPr>
        <w:t>.</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בחקירתה נשאלה התובעת כמה שעות עובדת ותשובתה היתה שהיא עובדת במשרה מלאה, 5 ימים בשבוע, 7 שעות ביום כ- 140 שעות בחודש, ואף הוסיפה שכך עבדה גם בשנת 2022 וגם כיום (</w:t>
      </w:r>
      <w:r w:rsidR="00BB2215">
        <w:rPr>
          <w:rFonts w:ascii="David" w:hAnsi="David" w:cs="David" w:hint="cs"/>
          <w:sz w:val="24"/>
          <w:szCs w:val="24"/>
          <w:rtl/>
        </w:rPr>
        <w:t xml:space="preserve">ראו: </w:t>
      </w:r>
      <w:r w:rsidRPr="00BB2215">
        <w:rPr>
          <w:rFonts w:ascii="David" w:hAnsi="David" w:cs="David"/>
          <w:b/>
          <w:bCs/>
          <w:sz w:val="24"/>
          <w:szCs w:val="24"/>
          <w:rtl/>
        </w:rPr>
        <w:t>פרוטוקול דיון מיום 1.2.2024 עמוד 73 שורות 19-35 ועמוד 74 שורות 1-12</w:t>
      </w:r>
      <w:r>
        <w:rPr>
          <w:rFonts w:ascii="David" w:hAnsi="David" w:cs="David"/>
          <w:sz w:val="24"/>
          <w:szCs w:val="24"/>
          <w:rtl/>
        </w:rPr>
        <w:t>).</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התובעת נשאלה לגבי תווי המזון, המופיעים בתלוש השכר, והבהירה כי היא יכולה לרכוש תווי קניה ממקום העובדה, בהנחה של 15% וזה כדאי לה, ואין מדובר בתוספת לשכר כי אם חלק ממנו (</w:t>
      </w:r>
      <w:r w:rsidR="00826295">
        <w:rPr>
          <w:rFonts w:ascii="David" w:hAnsi="David" w:cs="David" w:hint="cs"/>
          <w:sz w:val="24"/>
          <w:szCs w:val="24"/>
          <w:rtl/>
        </w:rPr>
        <w:t xml:space="preserve">ראו: </w:t>
      </w:r>
      <w:r w:rsidRPr="007A3647">
        <w:rPr>
          <w:rFonts w:ascii="David" w:hAnsi="David" w:cs="David"/>
          <w:b/>
          <w:bCs/>
          <w:sz w:val="24"/>
          <w:szCs w:val="24"/>
          <w:rtl/>
        </w:rPr>
        <w:t>פרוטוקול דיון מיום 1.2.2024 עמוד 76 שורות 7-36</w:t>
      </w:r>
      <w:r>
        <w:rPr>
          <w:rFonts w:ascii="David" w:hAnsi="David" w:cs="David"/>
          <w:sz w:val="24"/>
          <w:szCs w:val="24"/>
          <w:rtl/>
        </w:rPr>
        <w:t>).</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כאמור, התובעת לא שינתה את מקום עובדה ו/או את היקף משרתה במהלך ההליך המשפטי, כך שניתן לייחס לה את אותה הכנסה ואת אותו פוטנציאל השתכרות.</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במצב דברים זה בית המשפט לא יכול לקבל את טענות הנתבע לגבי פוטנציאל גבוה יותר של התובעת וכך גם לא את החישובים שערך.</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עדותה של התובעת היתה אמינה גם לגבי תווי הקניה, והיא עולה בקנה אחד עם מציאות החיים, והתנהלות</w:t>
      </w:r>
      <w:r w:rsidR="001D44CB">
        <w:rPr>
          <w:rFonts w:ascii="David" w:hAnsi="David" w:cs="David" w:hint="cs"/>
          <w:sz w:val="24"/>
          <w:szCs w:val="24"/>
          <w:rtl/>
        </w:rPr>
        <w:t>,</w:t>
      </w:r>
      <w:r>
        <w:rPr>
          <w:rFonts w:ascii="David" w:hAnsi="David" w:cs="David"/>
          <w:sz w:val="24"/>
          <w:szCs w:val="24"/>
          <w:rtl/>
        </w:rPr>
        <w:t xml:space="preserve"> לא חריגה</w:t>
      </w:r>
      <w:r w:rsidR="001D44CB">
        <w:rPr>
          <w:rFonts w:ascii="David" w:hAnsi="David" w:cs="David" w:hint="cs"/>
          <w:sz w:val="24"/>
          <w:szCs w:val="24"/>
          <w:rtl/>
        </w:rPr>
        <w:t>,</w:t>
      </w:r>
      <w:r>
        <w:rPr>
          <w:rFonts w:ascii="David" w:hAnsi="David" w:cs="David"/>
          <w:sz w:val="24"/>
          <w:szCs w:val="24"/>
          <w:rtl/>
        </w:rPr>
        <w:t xml:space="preserve"> גם במקומות עבודה אחרים. </w:t>
      </w:r>
    </w:p>
    <w:p w:rsidR="000D324B" w:rsidRDefault="000D324B" w:rsidP="00EB7718">
      <w:pPr>
        <w:pStyle w:val="ad"/>
        <w:numPr>
          <w:ilvl w:val="0"/>
          <w:numId w:val="1"/>
        </w:numPr>
        <w:tabs>
          <w:tab w:val="left" w:pos="425"/>
        </w:tabs>
        <w:spacing w:line="360" w:lineRule="auto"/>
        <w:ind w:hanging="437"/>
        <w:jc w:val="both"/>
        <w:rPr>
          <w:rFonts w:ascii="David" w:hAnsi="David" w:cs="David"/>
          <w:b/>
          <w:bCs/>
          <w:sz w:val="24"/>
          <w:szCs w:val="24"/>
        </w:rPr>
      </w:pPr>
      <w:r>
        <w:rPr>
          <w:rFonts w:ascii="David" w:hAnsi="David" w:cs="David"/>
          <w:b/>
          <w:bCs/>
          <w:sz w:val="24"/>
          <w:szCs w:val="24"/>
          <w:rtl/>
        </w:rPr>
        <w:t>אשר על כן, ולשם קביעת מזונות הקטינים, בית המשפט מעמיד את השתכרותה, לרבות פוטנציאל השתכרות, של התובעת בהתאם להכנסתה בפועל, על סך של 11,000 ₪ ברוטו בחודש.</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 xml:space="preserve">בעת מתן פסק דין זה מתגוררת התובעת בדירת המגורים בה התגוררו הצדדים יחדיו, עת חייהם המשותפים. </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הצדדים נושאים בהוצאות המשכנתא המוטלת על דירה זו בחלקים שווים. משכך, הוצאה זו לא נלקחה בחשבון אצל אף אחד מהצדדים.</w:t>
      </w:r>
    </w:p>
    <w:p w:rsidR="000D324B" w:rsidRDefault="000D324B" w:rsidP="000D324B">
      <w:pPr>
        <w:tabs>
          <w:tab w:val="left" w:pos="425"/>
        </w:tabs>
        <w:spacing w:line="360" w:lineRule="auto"/>
        <w:ind w:firstLine="283"/>
        <w:jc w:val="both"/>
        <w:rPr>
          <w:rFonts w:ascii="David" w:hAnsi="David"/>
          <w:b/>
          <w:bCs/>
          <w:u w:val="single"/>
        </w:rPr>
      </w:pPr>
      <w:r>
        <w:rPr>
          <w:rFonts w:ascii="David" w:hAnsi="David"/>
          <w:b/>
          <w:bCs/>
          <w:u w:val="single"/>
          <w:rtl/>
        </w:rPr>
        <w:t>הכנסות הנתבע</w:t>
      </w:r>
    </w:p>
    <w:p w:rsidR="000D324B" w:rsidRPr="001D44CB" w:rsidRDefault="000D324B" w:rsidP="00826BC0">
      <w:pPr>
        <w:pStyle w:val="ad"/>
        <w:numPr>
          <w:ilvl w:val="0"/>
          <w:numId w:val="1"/>
        </w:numPr>
        <w:tabs>
          <w:tab w:val="left" w:pos="425"/>
        </w:tabs>
        <w:spacing w:line="360" w:lineRule="auto"/>
        <w:ind w:hanging="437"/>
        <w:jc w:val="both"/>
        <w:rPr>
          <w:rFonts w:ascii="David" w:hAnsi="David" w:cs="David"/>
          <w:sz w:val="24"/>
          <w:szCs w:val="24"/>
          <w:rtl/>
        </w:rPr>
      </w:pPr>
      <w:r>
        <w:rPr>
          <w:rFonts w:ascii="David" w:hAnsi="David" w:cs="David"/>
          <w:sz w:val="24"/>
          <w:szCs w:val="24"/>
          <w:rtl/>
        </w:rPr>
        <w:t xml:space="preserve">הנתבע עובד </w:t>
      </w:r>
      <w:r w:rsidR="00826BC0">
        <w:rPr>
          <w:rFonts w:ascii="David" w:hAnsi="David" w:cs="David" w:hint="cs"/>
          <w:sz w:val="24"/>
          <w:szCs w:val="24"/>
          <w:rtl/>
        </w:rPr>
        <w:t xml:space="preserve">כאח </w:t>
      </w:r>
      <w:r w:rsidR="00BD69BB">
        <w:rPr>
          <w:rFonts w:ascii="David" w:hAnsi="David" w:cs="David"/>
          <w:sz w:val="24"/>
          <w:szCs w:val="24"/>
          <w:rtl/>
        </w:rPr>
        <w:t>ב</w:t>
      </w:r>
      <w:r w:rsidR="00BD69BB">
        <w:rPr>
          <w:rFonts w:ascii="David" w:hAnsi="David" w:cs="David" w:hint="cs"/>
          <w:sz w:val="24"/>
          <w:szCs w:val="24"/>
          <w:rtl/>
        </w:rPr>
        <w:t>----</w:t>
      </w:r>
      <w:r w:rsidR="00BD69BB">
        <w:rPr>
          <w:rFonts w:ascii="David" w:hAnsi="David" w:cs="David"/>
          <w:sz w:val="24"/>
          <w:szCs w:val="24"/>
          <w:rtl/>
        </w:rPr>
        <w:t xml:space="preserve"> </w:t>
      </w:r>
      <w:r w:rsidR="00BD69BB">
        <w:rPr>
          <w:rFonts w:ascii="David" w:hAnsi="David" w:cs="David" w:hint="cs"/>
          <w:sz w:val="24"/>
          <w:szCs w:val="24"/>
          <w:rtl/>
        </w:rPr>
        <w:t>----</w:t>
      </w:r>
      <w:r w:rsidR="00BD69BB">
        <w:rPr>
          <w:rFonts w:ascii="David" w:hAnsi="David" w:cs="David"/>
          <w:sz w:val="24"/>
          <w:szCs w:val="24"/>
          <w:rtl/>
        </w:rPr>
        <w:t xml:space="preserve"> ב</w:t>
      </w:r>
      <w:r w:rsidR="00BD69BB">
        <w:rPr>
          <w:rFonts w:ascii="David" w:hAnsi="David" w:cs="David" w:hint="cs"/>
          <w:sz w:val="24"/>
          <w:szCs w:val="24"/>
          <w:rtl/>
        </w:rPr>
        <w:t>-----</w:t>
      </w:r>
      <w:r>
        <w:rPr>
          <w:rFonts w:ascii="David" w:hAnsi="David" w:cs="David"/>
          <w:sz w:val="24"/>
          <w:szCs w:val="24"/>
          <w:rtl/>
        </w:rPr>
        <w:t>. מ</w:t>
      </w:r>
      <w:r w:rsidR="00961891">
        <w:rPr>
          <w:rFonts w:ascii="David" w:hAnsi="David" w:cs="David" w:hint="cs"/>
          <w:sz w:val="24"/>
          <w:szCs w:val="24"/>
          <w:rtl/>
        </w:rPr>
        <w:t xml:space="preserve">כל </w:t>
      </w:r>
      <w:r>
        <w:rPr>
          <w:rFonts w:ascii="David" w:hAnsi="David" w:cs="David"/>
          <w:sz w:val="24"/>
          <w:szCs w:val="24"/>
          <w:rtl/>
        </w:rPr>
        <w:t xml:space="preserve">תלושי השכר </w:t>
      </w:r>
      <w:r w:rsidR="00826BC0">
        <w:rPr>
          <w:rFonts w:ascii="David" w:hAnsi="David" w:cs="David" w:hint="cs"/>
          <w:sz w:val="24"/>
          <w:szCs w:val="24"/>
          <w:rtl/>
        </w:rPr>
        <w:t>ש</w:t>
      </w:r>
      <w:r>
        <w:rPr>
          <w:rFonts w:ascii="David" w:hAnsi="David" w:cs="David"/>
          <w:sz w:val="24"/>
          <w:szCs w:val="24"/>
          <w:rtl/>
        </w:rPr>
        <w:t xml:space="preserve">הומצאו לבית המשפט </w:t>
      </w:r>
      <w:r w:rsidR="001D44CB">
        <w:rPr>
          <w:rFonts w:ascii="David" w:hAnsi="David" w:cs="David" w:hint="cs"/>
          <w:sz w:val="24"/>
          <w:szCs w:val="24"/>
          <w:rtl/>
        </w:rPr>
        <w:t xml:space="preserve">במהלך ההליך, </w:t>
      </w:r>
      <w:r>
        <w:rPr>
          <w:rFonts w:ascii="David" w:hAnsi="David" w:cs="David"/>
          <w:sz w:val="24"/>
          <w:szCs w:val="24"/>
          <w:rtl/>
        </w:rPr>
        <w:t>עולה כי הכנסתו החודשית הממוצעת, ב</w:t>
      </w:r>
      <w:r w:rsidR="00826BC0">
        <w:rPr>
          <w:rFonts w:ascii="David" w:hAnsi="David" w:cs="David"/>
          <w:sz w:val="24"/>
          <w:szCs w:val="24"/>
          <w:rtl/>
        </w:rPr>
        <w:t>רוטו, מסתכמת בסך של כ- 17,000</w:t>
      </w:r>
      <w:r w:rsidR="00826BC0">
        <w:rPr>
          <w:rFonts w:ascii="David" w:hAnsi="David" w:cs="David" w:hint="cs"/>
          <w:sz w:val="24"/>
          <w:szCs w:val="24"/>
          <w:rtl/>
        </w:rPr>
        <w:t xml:space="preserve"> </w:t>
      </w:r>
      <w:r w:rsidR="001D44CB">
        <w:rPr>
          <w:rFonts w:ascii="David" w:hAnsi="David" w:cs="David"/>
          <w:sz w:val="24"/>
          <w:szCs w:val="24"/>
          <w:rtl/>
        </w:rPr>
        <w:t>₪</w:t>
      </w:r>
      <w:r w:rsidR="001D44CB">
        <w:rPr>
          <w:rFonts w:ascii="David" w:hAnsi="David" w:cs="David" w:hint="cs"/>
          <w:sz w:val="24"/>
          <w:szCs w:val="24"/>
          <w:rtl/>
        </w:rPr>
        <w:t>.</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 xml:space="preserve">בחקירתו העיד הנתבע כי בעת תחילת ההליכים המשפטיים הכנסתו עמדה על סך של 11,000 ₪ </w:t>
      </w:r>
      <w:r w:rsidR="00271542">
        <w:rPr>
          <w:rFonts w:ascii="David" w:hAnsi="David" w:cs="David" w:hint="cs"/>
          <w:sz w:val="24"/>
          <w:szCs w:val="24"/>
          <w:rtl/>
        </w:rPr>
        <w:t xml:space="preserve">נטו </w:t>
      </w:r>
      <w:r>
        <w:rPr>
          <w:rFonts w:ascii="David" w:hAnsi="David" w:cs="David"/>
          <w:sz w:val="24"/>
          <w:szCs w:val="24"/>
          <w:rtl/>
        </w:rPr>
        <w:t xml:space="preserve">לערך ועתה, על אף שעובד באותו מקום עובדה, הכנסתו ירדה לסך של 9,500 ₪ </w:t>
      </w:r>
      <w:r w:rsidR="00271542">
        <w:rPr>
          <w:rFonts w:ascii="David" w:hAnsi="David" w:cs="David" w:hint="cs"/>
          <w:sz w:val="24"/>
          <w:szCs w:val="24"/>
          <w:rtl/>
        </w:rPr>
        <w:t xml:space="preserve">נטו </w:t>
      </w:r>
      <w:r>
        <w:rPr>
          <w:rFonts w:ascii="David" w:hAnsi="David" w:cs="David"/>
          <w:sz w:val="24"/>
          <w:szCs w:val="24"/>
          <w:rtl/>
        </w:rPr>
        <w:t>לחודש (</w:t>
      </w:r>
      <w:r w:rsidR="00EB02EF">
        <w:rPr>
          <w:rFonts w:ascii="David" w:hAnsi="David" w:cs="David" w:hint="cs"/>
          <w:sz w:val="24"/>
          <w:szCs w:val="24"/>
          <w:rtl/>
        </w:rPr>
        <w:t xml:space="preserve">ראו: </w:t>
      </w:r>
      <w:r w:rsidRPr="00EB02EF">
        <w:rPr>
          <w:rFonts w:ascii="David" w:hAnsi="David" w:cs="David"/>
          <w:b/>
          <w:bCs/>
          <w:sz w:val="24"/>
          <w:szCs w:val="24"/>
          <w:rtl/>
        </w:rPr>
        <w:t>פרוטוקול דיון מיום 15.4.2024 עמוד 130 שורות 16-23</w:t>
      </w:r>
      <w:r>
        <w:rPr>
          <w:rFonts w:ascii="David" w:hAnsi="David" w:cs="David"/>
          <w:sz w:val="24"/>
          <w:szCs w:val="24"/>
          <w:rtl/>
        </w:rPr>
        <w:t>).</w:t>
      </w:r>
    </w:p>
    <w:p w:rsidR="000D324B" w:rsidRDefault="000D324B" w:rsidP="00BD69BB">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lastRenderedPageBreak/>
        <w:t xml:space="preserve">הנתבע גם העיד כי בשנת 2020 או שנת </w:t>
      </w:r>
      <w:r w:rsidR="00BD69BB">
        <w:rPr>
          <w:rFonts w:ascii="David" w:hAnsi="David" w:cs="David"/>
          <w:sz w:val="24"/>
          <w:szCs w:val="24"/>
          <w:rtl/>
        </w:rPr>
        <w:t>2021, עבד במקביל לעבודתו ב</w:t>
      </w:r>
      <w:r w:rsidR="00BD69BB">
        <w:rPr>
          <w:rFonts w:ascii="David" w:hAnsi="David" w:cs="David" w:hint="cs"/>
          <w:sz w:val="24"/>
          <w:szCs w:val="24"/>
          <w:rtl/>
        </w:rPr>
        <w:t>----</w:t>
      </w:r>
      <w:r>
        <w:rPr>
          <w:rFonts w:ascii="David" w:hAnsi="David" w:cs="David"/>
          <w:sz w:val="24"/>
          <w:szCs w:val="24"/>
          <w:rtl/>
        </w:rPr>
        <w:t xml:space="preserve">, גם בבית חולים </w:t>
      </w:r>
      <w:r w:rsidR="00BD69BB">
        <w:rPr>
          <w:rFonts w:ascii="David" w:hAnsi="David" w:cs="David" w:hint="cs"/>
          <w:sz w:val="24"/>
          <w:szCs w:val="24"/>
          <w:rtl/>
        </w:rPr>
        <w:t>---------</w:t>
      </w:r>
      <w:r>
        <w:rPr>
          <w:rFonts w:ascii="David" w:hAnsi="David" w:cs="David"/>
          <w:sz w:val="24"/>
          <w:szCs w:val="24"/>
          <w:rtl/>
        </w:rPr>
        <w:t>, אולם לשאלה האם קיבל כספים במזומן או משכורת בתלוש שכר, השיב "</w:t>
      </w:r>
      <w:r w:rsidRPr="00EB02EF">
        <w:rPr>
          <w:rFonts w:ascii="David" w:hAnsi="David" w:cs="David"/>
          <w:b/>
          <w:bCs/>
          <w:sz w:val="24"/>
          <w:szCs w:val="24"/>
          <w:rtl/>
        </w:rPr>
        <w:t>לא זוכר</w:t>
      </w:r>
      <w:r>
        <w:rPr>
          <w:rFonts w:ascii="David" w:hAnsi="David" w:cs="David"/>
          <w:sz w:val="24"/>
          <w:szCs w:val="24"/>
          <w:rtl/>
        </w:rPr>
        <w:t>" (</w:t>
      </w:r>
      <w:r w:rsidR="00EB02EF">
        <w:rPr>
          <w:rFonts w:ascii="David" w:hAnsi="David" w:cs="David" w:hint="cs"/>
          <w:sz w:val="24"/>
          <w:szCs w:val="24"/>
          <w:rtl/>
        </w:rPr>
        <w:t xml:space="preserve">ראו: </w:t>
      </w:r>
      <w:r w:rsidRPr="00EB02EF">
        <w:rPr>
          <w:rFonts w:ascii="David" w:hAnsi="David" w:cs="David"/>
          <w:b/>
          <w:bCs/>
          <w:sz w:val="24"/>
          <w:szCs w:val="24"/>
          <w:rtl/>
        </w:rPr>
        <w:t>פרוטוקול דיון מיום 15.4.2024 עמוד 131 שורות 1-13</w:t>
      </w:r>
      <w:r>
        <w:rPr>
          <w:rFonts w:ascii="David" w:hAnsi="David" w:cs="David"/>
          <w:sz w:val="24"/>
          <w:szCs w:val="24"/>
          <w:rtl/>
        </w:rPr>
        <w:t>).</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 xml:space="preserve">בית המשפט לא יכול לקבל את טענות הנתבע לפיהן הקטין את היקף משרתו על מנת לקיים הורות משותפת, כאשר בפועל הוא מקיים זמני שהות עם הקטין בלבד, ו- 40% מהזמן. יחד עם זאת לא הוכחו טענות התובעת לגבי הכנסות נוספות, והיקפם. </w:t>
      </w:r>
    </w:p>
    <w:p w:rsidR="000D324B" w:rsidRDefault="000D324B" w:rsidP="00EB7718">
      <w:pPr>
        <w:pStyle w:val="ad"/>
        <w:numPr>
          <w:ilvl w:val="0"/>
          <w:numId w:val="1"/>
        </w:numPr>
        <w:tabs>
          <w:tab w:val="left" w:pos="425"/>
        </w:tabs>
        <w:spacing w:line="360" w:lineRule="auto"/>
        <w:ind w:hanging="437"/>
        <w:jc w:val="both"/>
        <w:rPr>
          <w:rFonts w:ascii="David" w:hAnsi="David" w:cs="David"/>
          <w:b/>
          <w:bCs/>
          <w:sz w:val="24"/>
          <w:szCs w:val="24"/>
        </w:rPr>
      </w:pPr>
      <w:r>
        <w:rPr>
          <w:rFonts w:ascii="David" w:hAnsi="David" w:cs="David"/>
          <w:b/>
          <w:bCs/>
          <w:sz w:val="24"/>
          <w:szCs w:val="24"/>
          <w:rtl/>
        </w:rPr>
        <w:t>אשר על כן, ולשם קביעת מזונות הקטינים, בית המשפט מעמיד את השתכרותו, לרבות פוטנציאל השתכרות, של הנתבע , על פי תלושי השכר שהוצגו בפניו, על סך של 17,000 ₪ ברוטו</w:t>
      </w:r>
      <w:r w:rsidR="00826BC0">
        <w:rPr>
          <w:rFonts w:ascii="David" w:hAnsi="David" w:cs="David" w:hint="cs"/>
          <w:b/>
          <w:bCs/>
          <w:sz w:val="24"/>
          <w:szCs w:val="24"/>
          <w:rtl/>
        </w:rPr>
        <w:t>,</w:t>
      </w:r>
      <w:r>
        <w:rPr>
          <w:rFonts w:ascii="David" w:hAnsi="David" w:cs="David"/>
          <w:b/>
          <w:bCs/>
          <w:sz w:val="24"/>
          <w:szCs w:val="24"/>
          <w:rtl/>
        </w:rPr>
        <w:t xml:space="preserve"> בחודש.</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הכנסה פנויה – כאמור תחת פרק הכנסות התובעת, הצדדים משלמים משכנתא בחלקים שווים ועל כן הוצאה זו לא נלקחה בחשבון אצל אף אחד מהצדדים.</w:t>
      </w:r>
    </w:p>
    <w:p w:rsidR="000D324B" w:rsidRDefault="000D324B" w:rsidP="00961891">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הוצאות המדור להן טוען הנתבע, המשולמות לשיטתו להוריו, לא הוכחו במסמכים ועל כן לא יופחתו מהכנסות</w:t>
      </w:r>
      <w:r w:rsidR="00961891">
        <w:rPr>
          <w:rFonts w:ascii="David" w:hAnsi="David" w:cs="David" w:hint="cs"/>
          <w:sz w:val="24"/>
          <w:szCs w:val="24"/>
          <w:rtl/>
        </w:rPr>
        <w:t>יו</w:t>
      </w:r>
      <w:r>
        <w:rPr>
          <w:rFonts w:ascii="David" w:hAnsi="David" w:cs="David"/>
          <w:sz w:val="24"/>
          <w:szCs w:val="24"/>
          <w:rtl/>
        </w:rPr>
        <w:t>.</w:t>
      </w:r>
    </w:p>
    <w:p w:rsidR="000D324B" w:rsidRDefault="000D324B" w:rsidP="00EB7718">
      <w:pPr>
        <w:pStyle w:val="ad"/>
        <w:numPr>
          <w:ilvl w:val="0"/>
          <w:numId w:val="1"/>
        </w:numPr>
        <w:tabs>
          <w:tab w:val="left" w:pos="425"/>
        </w:tabs>
        <w:spacing w:line="360" w:lineRule="auto"/>
        <w:ind w:hanging="437"/>
        <w:jc w:val="both"/>
        <w:rPr>
          <w:rFonts w:ascii="David" w:hAnsi="David" w:cs="David"/>
          <w:b/>
          <w:bCs/>
          <w:sz w:val="24"/>
          <w:szCs w:val="24"/>
        </w:rPr>
      </w:pPr>
      <w:r>
        <w:rPr>
          <w:rFonts w:ascii="David" w:hAnsi="David" w:cs="David"/>
          <w:b/>
          <w:bCs/>
          <w:sz w:val="24"/>
          <w:szCs w:val="24"/>
          <w:rtl/>
        </w:rPr>
        <w:t>נוכח האמור לעיל פער ההכנסות בין הצדדים הינו 60/40 לטובת הנתבע.</w:t>
      </w:r>
    </w:p>
    <w:p w:rsidR="000D324B" w:rsidRDefault="000D324B" w:rsidP="000D324B">
      <w:pPr>
        <w:tabs>
          <w:tab w:val="left" w:pos="425"/>
        </w:tabs>
        <w:spacing w:line="360" w:lineRule="auto"/>
        <w:ind w:firstLine="283"/>
        <w:jc w:val="both"/>
        <w:rPr>
          <w:rFonts w:ascii="David" w:hAnsi="David"/>
          <w:b/>
          <w:bCs/>
          <w:u w:val="single"/>
        </w:rPr>
      </w:pPr>
      <w:r>
        <w:rPr>
          <w:rFonts w:ascii="David" w:hAnsi="David"/>
          <w:b/>
          <w:bCs/>
          <w:u w:val="single"/>
          <w:rtl/>
        </w:rPr>
        <w:t>חלוקת זמני השהות:</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tl/>
        </w:rPr>
      </w:pPr>
      <w:r>
        <w:rPr>
          <w:rFonts w:ascii="David" w:hAnsi="David" w:cs="David"/>
          <w:sz w:val="24"/>
          <w:szCs w:val="24"/>
          <w:rtl/>
        </w:rPr>
        <w:t>בפועל, מאז 10/2022, הנתבע אינו מקיים זמני שהות עם הקטינה.</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מבלי להיכנס לעובי הקורה בענין זה מחד, אולם על מנת להבהיר את המצב בתמצית מאידך, יובאו להלן דברי בית המשפט, כפי שנכתבו בהחלטה מיום 24.6.2024, בהליך הקשור בענין הקטינים (תלה"מ 26667-06-22), בקשר למערכת היחסים שבין הקטינה לנתבע, כדלהלן:</w:t>
      </w:r>
    </w:p>
    <w:p w:rsidR="000D324B" w:rsidRPr="00EB7718" w:rsidRDefault="00EB7718" w:rsidP="00EB7718">
      <w:pPr>
        <w:pStyle w:val="ad"/>
        <w:tabs>
          <w:tab w:val="left" w:pos="425"/>
        </w:tabs>
        <w:spacing w:after="0" w:line="360" w:lineRule="auto"/>
        <w:ind w:hanging="437"/>
        <w:jc w:val="both"/>
        <w:rPr>
          <w:rFonts w:ascii="David" w:hAnsi="David" w:cs="David"/>
          <w:sz w:val="24"/>
          <w:szCs w:val="24"/>
        </w:rPr>
      </w:pPr>
      <w:r w:rsidRPr="00EB7718">
        <w:rPr>
          <w:rFonts w:ascii="David" w:hAnsi="David" w:cs="David"/>
          <w:b/>
          <w:bCs/>
          <w:sz w:val="24"/>
          <w:szCs w:val="24"/>
          <w:rtl/>
        </w:rPr>
        <w:tab/>
      </w:r>
      <w:r w:rsidRPr="00EB7718">
        <w:rPr>
          <w:rFonts w:ascii="David" w:hAnsi="David" w:cs="David"/>
          <w:b/>
          <w:bCs/>
          <w:sz w:val="24"/>
          <w:szCs w:val="24"/>
          <w:rtl/>
        </w:rPr>
        <w:tab/>
      </w:r>
      <w:r w:rsidR="000D324B" w:rsidRPr="00EB7718">
        <w:rPr>
          <w:rFonts w:ascii="David" w:hAnsi="David" w:cs="David"/>
          <w:b/>
          <w:bCs/>
          <w:sz w:val="24"/>
          <w:szCs w:val="24"/>
          <w:rtl/>
        </w:rPr>
        <w:t>"קריאת כל המסמכים שמצויים בתיק, ורבים הם כאמור מעלה, תוך עיון מעמיק שוב ושוב בעמדות אנשי המקצוע שפגשו את הצדדים והקטינים, וגם הם לא מעטים במספר, מעידים כי התנהגותו של המבקש היא אשר הביאה את הקטינים לחוש את שחשים אליו, את ניתוק הקשר של הקטינה ממנו, את היחס של הקטין כפי שעולה מעדותו, ולא התנהלות המשיבה, הסתה או ניכור, כטענתו" (סעיף 70 להחלטה)</w:t>
      </w:r>
      <w:r>
        <w:rPr>
          <w:rFonts w:ascii="David" w:hAnsi="David" w:cs="David" w:hint="cs"/>
          <w:sz w:val="24"/>
          <w:szCs w:val="24"/>
          <w:rtl/>
        </w:rPr>
        <w:t>.</w:t>
      </w:r>
      <w:r w:rsidR="000D324B" w:rsidRPr="00EB7718">
        <w:rPr>
          <w:rFonts w:ascii="David" w:hAnsi="David" w:cs="David"/>
          <w:sz w:val="24"/>
          <w:szCs w:val="24"/>
          <w:rtl/>
        </w:rPr>
        <w:t xml:space="preserve">  </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tl/>
        </w:rPr>
      </w:pPr>
      <w:r>
        <w:rPr>
          <w:rFonts w:ascii="David" w:hAnsi="David" w:cs="David"/>
          <w:sz w:val="24"/>
          <w:szCs w:val="24"/>
          <w:rtl/>
        </w:rPr>
        <w:t>יתר על כן, התנהגותו של הנתבע ומעשיו, לא מקדמים את חידוש הקשר עם הקטינה, וגם על זה עמד בית המשפט באותה ההחלטה, כדלהלן:</w:t>
      </w:r>
    </w:p>
    <w:p w:rsidR="000D324B" w:rsidRPr="00EB7718" w:rsidRDefault="00EB7718" w:rsidP="006623AD">
      <w:pPr>
        <w:pStyle w:val="ad"/>
        <w:tabs>
          <w:tab w:val="left" w:pos="425"/>
        </w:tabs>
        <w:spacing w:after="0" w:line="360" w:lineRule="auto"/>
        <w:ind w:hanging="437"/>
        <w:jc w:val="both"/>
        <w:rPr>
          <w:rFonts w:ascii="David" w:hAnsi="David" w:cs="David"/>
          <w:b/>
          <w:bCs/>
          <w:sz w:val="24"/>
          <w:szCs w:val="24"/>
          <w:rtl/>
        </w:rPr>
      </w:pPr>
      <w:r w:rsidRPr="00EB7718">
        <w:rPr>
          <w:rFonts w:ascii="David" w:hAnsi="David" w:cs="David"/>
          <w:b/>
          <w:bCs/>
          <w:sz w:val="24"/>
          <w:szCs w:val="24"/>
          <w:rtl/>
        </w:rPr>
        <w:tab/>
      </w:r>
      <w:r w:rsidRPr="00EB7718">
        <w:rPr>
          <w:rFonts w:ascii="David" w:hAnsi="David" w:cs="David"/>
          <w:b/>
          <w:bCs/>
          <w:sz w:val="24"/>
          <w:szCs w:val="24"/>
          <w:rtl/>
        </w:rPr>
        <w:tab/>
      </w:r>
      <w:r w:rsidR="000D324B" w:rsidRPr="00EB7718">
        <w:rPr>
          <w:rFonts w:ascii="David" w:hAnsi="David" w:cs="David"/>
          <w:b/>
          <w:bCs/>
          <w:sz w:val="24"/>
          <w:szCs w:val="24"/>
          <w:rtl/>
        </w:rPr>
        <w:t>"לצערו של בית המשפט, המבקש בעצמו, ואולי לא בכוונה, עושה פעולות שהמשמעות שלהן הינה אי חידוש הקשר שלו עם הקטינה, או לכל הפחות, דחייה ועיכוב חידוש הקשר. את זאת ניתן ללמוד, גם אם נתעלם מהתנהגותו כלפיהם, מסירובו לשיתוף פעולה. כבר ב- 5/23</w:t>
      </w:r>
      <w:r w:rsidR="00BD69BB">
        <w:rPr>
          <w:rFonts w:ascii="David" w:hAnsi="David" w:cs="David"/>
          <w:b/>
          <w:bCs/>
          <w:sz w:val="24"/>
          <w:szCs w:val="24"/>
          <w:rtl/>
        </w:rPr>
        <w:t xml:space="preserve"> התנגד המבקש להפניית הקטינה נ</w:t>
      </w:r>
      <w:r w:rsidR="00BD69BB">
        <w:rPr>
          <w:rFonts w:ascii="David" w:hAnsi="David" w:cs="David" w:hint="cs"/>
          <w:b/>
          <w:bCs/>
          <w:sz w:val="24"/>
          <w:szCs w:val="24"/>
          <w:rtl/>
        </w:rPr>
        <w:t>'</w:t>
      </w:r>
      <w:r w:rsidR="000D324B" w:rsidRPr="00EB7718">
        <w:rPr>
          <w:rFonts w:ascii="David" w:hAnsi="David" w:cs="David"/>
          <w:b/>
          <w:bCs/>
          <w:sz w:val="24"/>
          <w:szCs w:val="24"/>
          <w:rtl/>
        </w:rPr>
        <w:t xml:space="preserve"> לטיפול אצל הפסיכולוגית הגב' ענת הדר. גם החלטת בית ה</w:t>
      </w:r>
      <w:r w:rsidR="00BD69BB">
        <w:rPr>
          <w:rFonts w:ascii="David" w:hAnsi="David" w:cs="David"/>
          <w:b/>
          <w:bCs/>
          <w:sz w:val="24"/>
          <w:szCs w:val="24"/>
          <w:rtl/>
        </w:rPr>
        <w:t>משפט להתחלת טיפול של הקטינה נ</w:t>
      </w:r>
      <w:r w:rsidR="00BD69BB">
        <w:rPr>
          <w:rFonts w:ascii="David" w:hAnsi="David" w:cs="David" w:hint="cs"/>
          <w:b/>
          <w:bCs/>
          <w:sz w:val="24"/>
          <w:szCs w:val="24"/>
          <w:rtl/>
        </w:rPr>
        <w:t>'</w:t>
      </w:r>
      <w:r w:rsidR="000D324B" w:rsidRPr="00EB7718">
        <w:rPr>
          <w:rFonts w:ascii="David" w:hAnsi="David" w:cs="David"/>
          <w:b/>
          <w:bCs/>
          <w:sz w:val="24"/>
          <w:szCs w:val="24"/>
          <w:rtl/>
        </w:rPr>
        <w:t xml:space="preserve"> במרכז גאיה, סוכל ולא החל, וגם עתה, משנראה כי הקטינה מצאה אוזן קשבת אצל המומחית, הטיפול הופסק בע</w:t>
      </w:r>
      <w:r w:rsidR="006623AD">
        <w:rPr>
          <w:rFonts w:ascii="David" w:hAnsi="David" w:cs="David" w:hint="cs"/>
          <w:b/>
          <w:bCs/>
          <w:sz w:val="24"/>
          <w:szCs w:val="24"/>
          <w:rtl/>
        </w:rPr>
        <w:t>ט</w:t>
      </w:r>
      <w:r w:rsidR="000D324B" w:rsidRPr="00EB7718">
        <w:rPr>
          <w:rFonts w:ascii="David" w:hAnsi="David" w:cs="David"/>
          <w:b/>
          <w:bCs/>
          <w:sz w:val="24"/>
          <w:szCs w:val="24"/>
          <w:rtl/>
        </w:rPr>
        <w:t>יו של המבקש" (סעיף 80 להחלטה).</w:t>
      </w:r>
    </w:p>
    <w:p w:rsidR="000D324B" w:rsidRDefault="000D324B" w:rsidP="00EB7718">
      <w:pPr>
        <w:pStyle w:val="ad"/>
        <w:numPr>
          <w:ilvl w:val="0"/>
          <w:numId w:val="1"/>
        </w:numPr>
        <w:tabs>
          <w:tab w:val="left" w:pos="425"/>
        </w:tabs>
        <w:spacing w:line="360" w:lineRule="auto"/>
        <w:ind w:hanging="437"/>
        <w:jc w:val="both"/>
        <w:rPr>
          <w:rFonts w:ascii="David" w:hAnsi="David" w:cs="David"/>
          <w:b/>
          <w:bCs/>
          <w:sz w:val="24"/>
          <w:szCs w:val="24"/>
        </w:rPr>
      </w:pPr>
      <w:r>
        <w:rPr>
          <w:rFonts w:ascii="David" w:hAnsi="David" w:cs="David"/>
          <w:sz w:val="24"/>
          <w:szCs w:val="24"/>
          <w:rtl/>
        </w:rPr>
        <w:lastRenderedPageBreak/>
        <w:t xml:space="preserve">לפיכך, במצב דברים זה, ולשם קביעת גובה המזונות, בית המשפט קובע כי </w:t>
      </w:r>
      <w:r>
        <w:rPr>
          <w:rFonts w:ascii="David" w:hAnsi="David" w:cs="David"/>
          <w:b/>
          <w:bCs/>
          <w:sz w:val="24"/>
          <w:szCs w:val="24"/>
          <w:rtl/>
        </w:rPr>
        <w:t>הקטינה שוהה 100% מהזמן אצל התובעת, ואילו הקטין שוהה 60% מהזמן אצל התובעת ו- 40% מהזמן אצל הנתבע.</w:t>
      </w:r>
    </w:p>
    <w:p w:rsidR="000D324B" w:rsidRDefault="000D324B" w:rsidP="000D324B">
      <w:pPr>
        <w:tabs>
          <w:tab w:val="left" w:pos="425"/>
        </w:tabs>
        <w:spacing w:line="360" w:lineRule="auto"/>
        <w:ind w:firstLine="283"/>
        <w:jc w:val="both"/>
        <w:rPr>
          <w:rFonts w:ascii="David" w:hAnsi="David"/>
          <w:b/>
          <w:bCs/>
          <w:u w:val="single"/>
        </w:rPr>
      </w:pPr>
      <w:r>
        <w:rPr>
          <w:rFonts w:ascii="David" w:hAnsi="David"/>
          <w:b/>
          <w:bCs/>
          <w:u w:val="single"/>
          <w:rtl/>
        </w:rPr>
        <w:t>הוצאות הקטינים:</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tl/>
        </w:rPr>
      </w:pPr>
      <w:r>
        <w:rPr>
          <w:rFonts w:ascii="David" w:hAnsi="David" w:cs="David"/>
          <w:sz w:val="24"/>
          <w:szCs w:val="24"/>
          <w:rtl/>
        </w:rPr>
        <w:t>בטבלה אשר צירפה התובעת לסיכומיה (סעיף 90), תחת מזונות הקטינה, שהסתכמו לסך של 5,142 ₪, הוכנסו גם הוצאות חינוך חריגות כמו חוג שחייה וחוג מתמטיקה, והוצאות בריאות כמו ביטוח רפואי.</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 xml:space="preserve">הוצאת סכומים אלה מהטבלה, מביאים את הוצאות הקטינה, לשיטתה של התובעת, לסך של 2,875 ₪ בחודש. </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סכום זה כולל גם הוצאות עבור טיולים וחופשות בסך של 500 ₪ והוצאות בסך של 800 ₪ בחודש, עבור תרבות, ספרים, מתנות לימי הולדת, בילויים ודמי כיס. סכומים אלה לא גובו במסמכים</w:t>
      </w:r>
      <w:r w:rsidR="00820B44">
        <w:rPr>
          <w:rFonts w:ascii="David" w:hAnsi="David" w:cs="David" w:hint="cs"/>
          <w:sz w:val="24"/>
          <w:szCs w:val="24"/>
          <w:rtl/>
        </w:rPr>
        <w:t xml:space="preserve"> מלאים</w:t>
      </w:r>
      <w:r>
        <w:rPr>
          <w:rFonts w:ascii="David" w:hAnsi="David" w:cs="David"/>
          <w:sz w:val="24"/>
          <w:szCs w:val="24"/>
          <w:rtl/>
        </w:rPr>
        <w:t>, ובחלקם חופפים (בילויים וחופשות לדוגמא), ועל כן בית המשפט יעמידם על סך של 250 ₪ בלבד.</w:t>
      </w:r>
    </w:p>
    <w:p w:rsidR="00271542" w:rsidRDefault="000D324B" w:rsidP="00271542">
      <w:pPr>
        <w:pStyle w:val="ad"/>
        <w:numPr>
          <w:ilvl w:val="0"/>
          <w:numId w:val="1"/>
        </w:numPr>
        <w:tabs>
          <w:tab w:val="left" w:pos="425"/>
        </w:tabs>
        <w:spacing w:line="360" w:lineRule="auto"/>
        <w:ind w:hanging="437"/>
        <w:jc w:val="both"/>
        <w:rPr>
          <w:rFonts w:ascii="David" w:hAnsi="David" w:cs="David"/>
          <w:b/>
          <w:bCs/>
          <w:sz w:val="24"/>
          <w:szCs w:val="24"/>
        </w:rPr>
      </w:pPr>
      <w:r w:rsidRPr="00820B44">
        <w:rPr>
          <w:rFonts w:ascii="David" w:hAnsi="David" w:cs="David"/>
          <w:b/>
          <w:bCs/>
          <w:sz w:val="24"/>
          <w:szCs w:val="24"/>
          <w:rtl/>
        </w:rPr>
        <w:t>נוכח האמור, הוצאות הקטינה עולות לסך של כ- 1,800 ₪ בחודש, סכום העולה בקנה אחד עם הפסיקה, אשר קבעה כי גם ללא הוכחה ניתן להעמיד הוצאות קטין, השוהה בבית אחד בלבד, על סך של</w:t>
      </w:r>
      <w:r w:rsidR="00271542">
        <w:rPr>
          <w:rFonts w:ascii="David" w:hAnsi="David" w:cs="David" w:hint="cs"/>
          <w:b/>
          <w:bCs/>
          <w:sz w:val="24"/>
          <w:szCs w:val="24"/>
          <w:rtl/>
        </w:rPr>
        <w:t xml:space="preserve"> בין 1,600 ל- 1,900 ₪ לחודש (עמ"ש 65692-11-19 (פורסם בנבו)).</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לגבי הוצאותיה החריגות של הקטינה נשאל הנתבע אם הוא מאשר שהקטינה לומדת שחייה כבר 6 שנים, ותשובתו היתה 4 שנים, קרי מדובר בהוצאה שהיתה לקטינה עוד בעת חיי הצדדים יחדיו.</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אשר על כן נשאל הנתבע מדוע לא משלם את מחצית העלויות וזה השיב כי משלם לפי ההחלטה למזונות זמניים – מחצית עלות מתנ"ס בלבד, ובהמשך טען כי לא רואה את הקטינה יותר משנה וחצי וצריך להכריז על הקטינה כמורדת ולהפסיק את התשלומים (</w:t>
      </w:r>
      <w:r w:rsidR="00EB02EF">
        <w:rPr>
          <w:rFonts w:ascii="David" w:hAnsi="David" w:cs="David" w:hint="cs"/>
          <w:sz w:val="24"/>
          <w:szCs w:val="24"/>
          <w:rtl/>
        </w:rPr>
        <w:t xml:space="preserve">ראו: </w:t>
      </w:r>
      <w:r w:rsidRPr="00EB02EF">
        <w:rPr>
          <w:rFonts w:ascii="David" w:hAnsi="David" w:cs="David"/>
          <w:b/>
          <w:bCs/>
          <w:sz w:val="24"/>
          <w:szCs w:val="24"/>
          <w:rtl/>
        </w:rPr>
        <w:t>פרוטוקול דיון מיום 15.4.2024 עמוד 132 שורות 14-16</w:t>
      </w:r>
      <w:r>
        <w:rPr>
          <w:rFonts w:ascii="David" w:hAnsi="David" w:cs="David"/>
          <w:sz w:val="24"/>
          <w:szCs w:val="24"/>
          <w:rtl/>
        </w:rPr>
        <w:t>).</w:t>
      </w:r>
    </w:p>
    <w:p w:rsidR="000D324B" w:rsidRDefault="000D324B" w:rsidP="00961891">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באותה המתכונת ענה הנתבע גם לשאלה מדוע לא משלם על הוצאות חוג המתמטיקה של הקטינה, באוניברסיטת בר אילן (</w:t>
      </w:r>
      <w:r w:rsidR="00EB02EF">
        <w:rPr>
          <w:rFonts w:ascii="David" w:hAnsi="David" w:cs="David" w:hint="cs"/>
          <w:sz w:val="24"/>
          <w:szCs w:val="24"/>
          <w:rtl/>
        </w:rPr>
        <w:t xml:space="preserve">ראו: </w:t>
      </w:r>
      <w:r w:rsidRPr="00EB02EF">
        <w:rPr>
          <w:rFonts w:ascii="David" w:hAnsi="David" w:cs="David"/>
          <w:b/>
          <w:bCs/>
          <w:sz w:val="24"/>
          <w:szCs w:val="24"/>
          <w:rtl/>
        </w:rPr>
        <w:t>פרוטוקול דיון מיום 15.4.24 עמוד 133 שורות 16-18</w:t>
      </w:r>
      <w:r>
        <w:rPr>
          <w:rFonts w:ascii="David" w:hAnsi="David" w:cs="David"/>
          <w:sz w:val="24"/>
          <w:szCs w:val="24"/>
          <w:rtl/>
        </w:rPr>
        <w:t>).</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למעלה מן הצורך יצוין כי על אף שאין עסקינן בענין זה, בית המשפט לא התעלם מטענות הנתבע לגבי קטינה מורדת, אולם אין הוא מקבל אותן.</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באותה בטבלה (סעיף 90 לסיכומים), גם תחת מזונות הקטין, שהסתכמו בסך של 2,327 ₪, הוכנסה הוצאה בסך של 300 ₪ בעבור טיולים וחופשות והוצאה בסך של 500 ₪ בעבור תרבות, ספרים, מתנות לימי הולדת, בילויים ודמי כיס. כפי שנכתב מעלה לגבי הקטינה, כך גם לגבי הקטין. מדובר בסכומים שלא גובו במסמכים</w:t>
      </w:r>
      <w:r w:rsidR="00820B44">
        <w:rPr>
          <w:rFonts w:ascii="David" w:hAnsi="David" w:cs="David" w:hint="cs"/>
          <w:sz w:val="24"/>
          <w:szCs w:val="24"/>
          <w:rtl/>
        </w:rPr>
        <w:t xml:space="preserve"> מלאים</w:t>
      </w:r>
      <w:r>
        <w:rPr>
          <w:rFonts w:ascii="David" w:hAnsi="David" w:cs="David"/>
          <w:sz w:val="24"/>
          <w:szCs w:val="24"/>
          <w:rtl/>
        </w:rPr>
        <w:t>, וחלקם חופפים, ועל כן בית המשפט יעמידם על סך של כ- 250 ₪ בלבד.</w:t>
      </w:r>
    </w:p>
    <w:p w:rsidR="000D324B" w:rsidRPr="00820B44" w:rsidRDefault="000D324B" w:rsidP="00EB7718">
      <w:pPr>
        <w:pStyle w:val="ad"/>
        <w:numPr>
          <w:ilvl w:val="0"/>
          <w:numId w:val="1"/>
        </w:numPr>
        <w:tabs>
          <w:tab w:val="left" w:pos="425"/>
        </w:tabs>
        <w:spacing w:line="360" w:lineRule="auto"/>
        <w:ind w:hanging="437"/>
        <w:jc w:val="both"/>
        <w:rPr>
          <w:rFonts w:ascii="David" w:hAnsi="David" w:cs="David"/>
          <w:b/>
          <w:bCs/>
          <w:sz w:val="24"/>
          <w:szCs w:val="24"/>
        </w:rPr>
      </w:pPr>
      <w:r w:rsidRPr="00820B44">
        <w:rPr>
          <w:rFonts w:ascii="David" w:hAnsi="David" w:cs="David"/>
          <w:b/>
          <w:bCs/>
          <w:sz w:val="24"/>
          <w:szCs w:val="24"/>
          <w:rtl/>
        </w:rPr>
        <w:t>נוכח האמור, הוצאותיו של הקטין מסתכמות לסך של כ- 1,800 ₪ בלבד.</w:t>
      </w:r>
    </w:p>
    <w:p w:rsidR="000D324B" w:rsidRDefault="000D324B" w:rsidP="00820B44">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lastRenderedPageBreak/>
        <w:t>התובעת נשאלה בחקירתה</w:t>
      </w:r>
      <w:r w:rsidR="00820B44">
        <w:rPr>
          <w:rFonts w:ascii="David" w:hAnsi="David" w:cs="David" w:hint="cs"/>
          <w:sz w:val="24"/>
          <w:szCs w:val="24"/>
          <w:rtl/>
        </w:rPr>
        <w:t xml:space="preserve"> מעט מאוד שאלות לגבי הוצאות הקטינים. יחד עם זאת לגבי ה</w:t>
      </w:r>
      <w:r w:rsidR="00820B44">
        <w:rPr>
          <w:rFonts w:ascii="David" w:hAnsi="David" w:cs="David"/>
          <w:sz w:val="24"/>
          <w:szCs w:val="24"/>
          <w:rtl/>
        </w:rPr>
        <w:t>וצאות הביגוד של הקטינים</w:t>
      </w:r>
      <w:r w:rsidR="00820B44">
        <w:rPr>
          <w:rFonts w:ascii="David" w:hAnsi="David" w:cs="David" w:hint="cs"/>
          <w:sz w:val="24"/>
          <w:szCs w:val="24"/>
          <w:rtl/>
        </w:rPr>
        <w:t xml:space="preserve"> (עליהן כן נשאלה) העידה,</w:t>
      </w:r>
      <w:r>
        <w:rPr>
          <w:rFonts w:ascii="David" w:hAnsi="David" w:cs="David"/>
          <w:sz w:val="24"/>
          <w:szCs w:val="24"/>
          <w:rtl/>
        </w:rPr>
        <w:t xml:space="preserve"> כי מדובר בהוצאה גדולה, שמשתנה מחודש לחודש והוסיפה כי "</w:t>
      </w:r>
      <w:r w:rsidRPr="00EB02EF">
        <w:rPr>
          <w:rFonts w:ascii="David" w:hAnsi="David" w:cs="David"/>
          <w:b/>
          <w:bCs/>
          <w:sz w:val="24"/>
          <w:szCs w:val="24"/>
          <w:rtl/>
        </w:rPr>
        <w:t>רק לאחרונה קניתי לילדה חליפה של השחיה ב- 1,400 שקל, וכל בגד ים שלה עולה 300 שקל, וכל הציוד שחייה שלה עולה המון המון כסף</w:t>
      </w:r>
      <w:r>
        <w:rPr>
          <w:rFonts w:ascii="David" w:hAnsi="David" w:cs="David"/>
          <w:sz w:val="24"/>
          <w:szCs w:val="24"/>
          <w:rtl/>
        </w:rPr>
        <w:t>" (</w:t>
      </w:r>
      <w:r w:rsidR="00EB02EF">
        <w:rPr>
          <w:rFonts w:ascii="David" w:hAnsi="David" w:cs="David" w:hint="cs"/>
          <w:sz w:val="24"/>
          <w:szCs w:val="24"/>
          <w:rtl/>
        </w:rPr>
        <w:t xml:space="preserve">ראו: </w:t>
      </w:r>
      <w:r w:rsidRPr="00EB02EF">
        <w:rPr>
          <w:rFonts w:ascii="David" w:hAnsi="David" w:cs="David"/>
          <w:b/>
          <w:bCs/>
          <w:sz w:val="24"/>
          <w:szCs w:val="24"/>
          <w:rtl/>
        </w:rPr>
        <w:t>פרוטוקול דיון מיום 1.2.2024 עמוד 70 שורות 9-17</w:t>
      </w:r>
      <w:r>
        <w:rPr>
          <w:rFonts w:ascii="David" w:hAnsi="David" w:cs="David"/>
          <w:sz w:val="24"/>
          <w:szCs w:val="24"/>
          <w:rtl/>
        </w:rPr>
        <w:t>).</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כך גם נשאלה לגבי הוצאות בילויים בארץ ובחו"ל והשיבה כי הקטין לא נוסע לחו"ל אולם הקטינה, שהיתה בנבחרת שחיה, יצאה לחו"ל, כאשר הנתבע לא השתתף בהוצאותיה, וכי קיימים בילויים בארץ שהם יוצאים אליהם ביחד (</w:t>
      </w:r>
      <w:r w:rsidR="00EB02EF">
        <w:rPr>
          <w:rFonts w:ascii="David" w:hAnsi="David" w:cs="David" w:hint="cs"/>
          <w:sz w:val="24"/>
          <w:szCs w:val="24"/>
          <w:rtl/>
        </w:rPr>
        <w:t xml:space="preserve">ראו: </w:t>
      </w:r>
      <w:r w:rsidRPr="00EB02EF">
        <w:rPr>
          <w:rFonts w:ascii="David" w:hAnsi="David" w:cs="David"/>
          <w:b/>
          <w:bCs/>
          <w:sz w:val="24"/>
          <w:szCs w:val="24"/>
          <w:rtl/>
        </w:rPr>
        <w:t>פרוטוקול דיון מיום 1.2.2024 עמוד 71 שורות 1-12</w:t>
      </w:r>
      <w:r>
        <w:rPr>
          <w:rFonts w:ascii="David" w:hAnsi="David" w:cs="David"/>
          <w:sz w:val="24"/>
          <w:szCs w:val="24"/>
          <w:rtl/>
        </w:rPr>
        <w:t>).</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התובעת הוסיפה והעידה על הוצאות רבות של הקטינים עת משתתפים במסיבות ימי הולדת של חברים בכתה, במיוחד לשם רכישת מתנות לבת מצווה (</w:t>
      </w:r>
      <w:r w:rsidR="00EB02EF">
        <w:rPr>
          <w:rFonts w:ascii="David" w:hAnsi="David" w:cs="David" w:hint="cs"/>
          <w:sz w:val="24"/>
          <w:szCs w:val="24"/>
          <w:rtl/>
        </w:rPr>
        <w:t xml:space="preserve">ראו: </w:t>
      </w:r>
      <w:r w:rsidRPr="00EB02EF">
        <w:rPr>
          <w:rFonts w:ascii="David" w:hAnsi="David" w:cs="David"/>
          <w:b/>
          <w:bCs/>
          <w:sz w:val="24"/>
          <w:szCs w:val="24"/>
          <w:rtl/>
        </w:rPr>
        <w:t>פרוטוקול דיון מיום 1.2.2024 עמוד 70 שורות14-25</w:t>
      </w:r>
      <w:r>
        <w:rPr>
          <w:rFonts w:ascii="David" w:hAnsi="David" w:cs="David"/>
          <w:sz w:val="24"/>
          <w:szCs w:val="24"/>
          <w:rtl/>
        </w:rPr>
        <w:t>).</w:t>
      </w:r>
    </w:p>
    <w:p w:rsidR="000D324B" w:rsidRDefault="000D324B"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התובעת פירטה בעדותה את הוצאות חוג המתמטיקה של הקטינה בסך של 700 ₪ לחודש, ואת עלויות חוג השחייה של הקטינה העולה לסך של כ- 20,000 ₪ לשנה (</w:t>
      </w:r>
      <w:r w:rsidR="006B6846">
        <w:rPr>
          <w:rFonts w:ascii="David" w:hAnsi="David" w:cs="David" w:hint="cs"/>
          <w:sz w:val="24"/>
          <w:szCs w:val="24"/>
          <w:rtl/>
        </w:rPr>
        <w:t xml:space="preserve">ראו: </w:t>
      </w:r>
      <w:r w:rsidRPr="006B6846">
        <w:rPr>
          <w:rFonts w:ascii="David" w:hAnsi="David" w:cs="David"/>
          <w:b/>
          <w:bCs/>
          <w:sz w:val="24"/>
          <w:szCs w:val="24"/>
          <w:rtl/>
        </w:rPr>
        <w:t>פרוטוקול דיון מיום 1.2.2024 עמוד 74 שורות 26-36</w:t>
      </w:r>
      <w:r>
        <w:rPr>
          <w:rFonts w:ascii="David" w:hAnsi="David" w:cs="David"/>
          <w:sz w:val="24"/>
          <w:szCs w:val="24"/>
          <w:rtl/>
        </w:rPr>
        <w:t>), ובהמשך את עלויות השיעורים הפרטיים של הקטינים (</w:t>
      </w:r>
      <w:r w:rsidR="006B6846">
        <w:rPr>
          <w:rFonts w:ascii="David" w:hAnsi="David" w:cs="David" w:hint="cs"/>
          <w:sz w:val="24"/>
          <w:szCs w:val="24"/>
          <w:rtl/>
        </w:rPr>
        <w:t xml:space="preserve">ראו: </w:t>
      </w:r>
      <w:r w:rsidRPr="006B6846">
        <w:rPr>
          <w:rFonts w:ascii="David" w:hAnsi="David" w:cs="David"/>
          <w:b/>
          <w:bCs/>
          <w:sz w:val="24"/>
          <w:szCs w:val="24"/>
          <w:rtl/>
        </w:rPr>
        <w:t>פרוטוקול דיון מיום 1.2.2024 עמוד 75 שורות 1-4)</w:t>
      </w:r>
      <w:r>
        <w:rPr>
          <w:rFonts w:ascii="David" w:hAnsi="David" w:cs="David"/>
          <w:sz w:val="24"/>
          <w:szCs w:val="24"/>
          <w:rtl/>
        </w:rPr>
        <w:t>.</w:t>
      </w:r>
    </w:p>
    <w:p w:rsidR="00820B44" w:rsidRDefault="006A18C7" w:rsidP="00EB7718">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hint="cs"/>
          <w:sz w:val="24"/>
          <w:szCs w:val="24"/>
          <w:rtl/>
        </w:rPr>
        <w:t>הנתבע בסיכומיו טען כי ההוצאות להן עתרה התובעת אינן מגובות במסמכים ומופרזות, יחד עם זאת כאמור לא חקר את התובעת אודות רובן. מאידך, התובעת, באמינותה יש לומר, העידה כי לא שמרה על כל הקבלות ובכלל מדובר בהוצאות משתנות.</w:t>
      </w:r>
    </w:p>
    <w:p w:rsidR="006A18C7" w:rsidRDefault="006A18C7" w:rsidP="003C7884">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hint="cs"/>
          <w:sz w:val="24"/>
          <w:szCs w:val="24"/>
          <w:rtl/>
        </w:rPr>
        <w:t xml:space="preserve">התובעת צירפה לסיכומיה טבלה נפרדת ובה פירטה את הוצאות המדור </w:t>
      </w:r>
      <w:r w:rsidR="003C7884">
        <w:rPr>
          <w:rFonts w:ascii="David" w:hAnsi="David" w:cs="David" w:hint="cs"/>
          <w:sz w:val="24"/>
          <w:szCs w:val="24"/>
          <w:rtl/>
        </w:rPr>
        <w:t>והעמידה אותם על סך של 3,040 ₪ בחודש</w:t>
      </w:r>
      <w:r>
        <w:rPr>
          <w:rFonts w:ascii="David" w:hAnsi="David" w:cs="David" w:hint="cs"/>
          <w:sz w:val="24"/>
          <w:szCs w:val="24"/>
          <w:rtl/>
        </w:rPr>
        <w:t>, ולגבי הוצאות אלה לא נשאלה כלל וכלל</w:t>
      </w:r>
      <w:r w:rsidR="003C7884">
        <w:rPr>
          <w:rFonts w:ascii="David" w:hAnsi="David" w:cs="David" w:hint="cs"/>
          <w:sz w:val="24"/>
          <w:szCs w:val="24"/>
          <w:rtl/>
        </w:rPr>
        <w:t xml:space="preserve"> בחקירתה</w:t>
      </w:r>
      <w:r>
        <w:rPr>
          <w:rFonts w:ascii="David" w:hAnsi="David" w:cs="David" w:hint="cs"/>
          <w:sz w:val="24"/>
          <w:szCs w:val="24"/>
          <w:rtl/>
        </w:rPr>
        <w:t xml:space="preserve">. במצב זה בית המשפט יכול לקבל את הסכומים להם עתרה </w:t>
      </w:r>
      <w:r w:rsidR="003C7884">
        <w:rPr>
          <w:rFonts w:ascii="David" w:hAnsi="David" w:cs="David" w:hint="cs"/>
          <w:sz w:val="24"/>
          <w:szCs w:val="24"/>
          <w:rtl/>
        </w:rPr>
        <w:t>כפי שהם. יחד עם זאת, עיון במסמכים שצורפו מעלה כי הסכומים המופיעים בטבלה אינם עולים בקנה אחד עם ההוצאות בפועל. כך לדוגמא לגבי הוצאות החשמל וכך גם לגבי הוצאות הארנונה. לפיכך, בית המשפט מעמיד את הוצאות אחזקת המדור על סך של 1,500 ₪ בחודש, ואת חלקו של הנתבע בתשלומים אלה על סך של 500 ₪ בחודש.</w:t>
      </w:r>
    </w:p>
    <w:p w:rsidR="000D324B" w:rsidRDefault="000D324B" w:rsidP="00820B44">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b/>
          <w:bCs/>
          <w:sz w:val="26"/>
          <w:szCs w:val="26"/>
          <w:rtl/>
        </w:rPr>
        <w:t xml:space="preserve">נוכח כל המפורט לעיל, </w:t>
      </w:r>
      <w:r w:rsidRPr="003C7884">
        <w:rPr>
          <w:rFonts w:ascii="David" w:hAnsi="David" w:cs="David"/>
          <w:b/>
          <w:bCs/>
          <w:sz w:val="24"/>
          <w:szCs w:val="24"/>
          <w:rtl/>
        </w:rPr>
        <w:t>בהתחשב בפערי ההשתכרות שבין הצדדים ויחס זמני השהות</w:t>
      </w:r>
      <w:r w:rsidRPr="003C7884">
        <w:rPr>
          <w:rFonts w:ascii="David" w:hAnsi="David" w:cs="David"/>
          <w:b/>
          <w:bCs/>
          <w:sz w:val="26"/>
          <w:szCs w:val="26"/>
          <w:rtl/>
        </w:rPr>
        <w:t xml:space="preserve"> עם</w:t>
      </w:r>
      <w:r>
        <w:rPr>
          <w:rFonts w:ascii="David" w:hAnsi="David" w:cs="David"/>
          <w:b/>
          <w:bCs/>
          <w:sz w:val="26"/>
          <w:szCs w:val="26"/>
          <w:rtl/>
        </w:rPr>
        <w:t xml:space="preserve"> כל אחד מהקטינים, הריני מורה כדלהלן:</w:t>
      </w:r>
    </w:p>
    <w:p w:rsidR="000D324B" w:rsidRDefault="005F6064" w:rsidP="005F6064">
      <w:pPr>
        <w:pStyle w:val="ad"/>
        <w:numPr>
          <w:ilvl w:val="0"/>
          <w:numId w:val="8"/>
        </w:numPr>
        <w:tabs>
          <w:tab w:val="left" w:pos="425"/>
        </w:tabs>
        <w:spacing w:after="0" w:line="360" w:lineRule="auto"/>
        <w:ind w:left="1275" w:hanging="425"/>
        <w:jc w:val="both"/>
        <w:rPr>
          <w:rFonts w:ascii="David" w:eastAsia="Times New Roman" w:hAnsi="David" w:cs="David"/>
          <w:sz w:val="24"/>
          <w:szCs w:val="24"/>
        </w:rPr>
      </w:pPr>
      <w:r>
        <w:rPr>
          <w:rFonts w:ascii="David" w:eastAsia="Times New Roman" w:hAnsi="David" w:cs="David" w:hint="cs"/>
          <w:sz w:val="24"/>
          <w:szCs w:val="24"/>
          <w:rtl/>
        </w:rPr>
        <w:t xml:space="preserve">הנתבע ישלם לידי התובעת בעבור </w:t>
      </w:r>
      <w:r w:rsidR="000D324B">
        <w:rPr>
          <w:rFonts w:ascii="David" w:eastAsia="Times New Roman" w:hAnsi="David" w:cs="David"/>
          <w:sz w:val="24"/>
          <w:szCs w:val="24"/>
          <w:rtl/>
        </w:rPr>
        <w:t>מזונות הקטינה</w:t>
      </w:r>
      <w:r>
        <w:rPr>
          <w:rFonts w:ascii="David" w:eastAsia="Times New Roman" w:hAnsi="David" w:cs="David" w:hint="cs"/>
          <w:sz w:val="24"/>
          <w:szCs w:val="24"/>
          <w:rtl/>
        </w:rPr>
        <w:t xml:space="preserve">, </w:t>
      </w:r>
      <w:r w:rsidR="000D324B">
        <w:rPr>
          <w:rFonts w:ascii="David" w:eastAsia="Times New Roman" w:hAnsi="David" w:cs="David"/>
          <w:sz w:val="24"/>
          <w:szCs w:val="24"/>
          <w:rtl/>
        </w:rPr>
        <w:t>סך של 1,800 ₪ בחודש.</w:t>
      </w:r>
    </w:p>
    <w:p w:rsidR="00EB7718" w:rsidRDefault="005F6064" w:rsidP="005F6064">
      <w:pPr>
        <w:pStyle w:val="ad"/>
        <w:numPr>
          <w:ilvl w:val="0"/>
          <w:numId w:val="8"/>
        </w:numPr>
        <w:tabs>
          <w:tab w:val="left" w:pos="425"/>
        </w:tabs>
        <w:spacing w:after="0" w:line="360" w:lineRule="auto"/>
        <w:ind w:left="1275" w:hanging="425"/>
        <w:jc w:val="both"/>
        <w:rPr>
          <w:rFonts w:ascii="David" w:eastAsia="Times New Roman" w:hAnsi="David" w:cs="David"/>
          <w:sz w:val="24"/>
          <w:szCs w:val="24"/>
        </w:rPr>
      </w:pPr>
      <w:r>
        <w:rPr>
          <w:rFonts w:ascii="David" w:eastAsia="Times New Roman" w:hAnsi="David" w:cs="David" w:hint="cs"/>
          <w:sz w:val="24"/>
          <w:szCs w:val="24"/>
          <w:rtl/>
        </w:rPr>
        <w:t>הנתבע ישלם לידי התובעת, בעבור מ</w:t>
      </w:r>
      <w:r w:rsidR="000D324B">
        <w:rPr>
          <w:rFonts w:ascii="David" w:eastAsia="Times New Roman" w:hAnsi="David" w:cs="David"/>
          <w:sz w:val="24"/>
          <w:szCs w:val="24"/>
          <w:rtl/>
        </w:rPr>
        <w:t>זונות הקטין</w:t>
      </w:r>
      <w:r>
        <w:rPr>
          <w:rFonts w:ascii="David" w:eastAsia="Times New Roman" w:hAnsi="David" w:cs="David" w:hint="cs"/>
          <w:sz w:val="24"/>
          <w:szCs w:val="24"/>
          <w:rtl/>
        </w:rPr>
        <w:t xml:space="preserve">, </w:t>
      </w:r>
      <w:r w:rsidR="000D324B">
        <w:rPr>
          <w:rFonts w:ascii="David" w:eastAsia="Times New Roman" w:hAnsi="David" w:cs="David"/>
          <w:sz w:val="24"/>
          <w:szCs w:val="24"/>
          <w:rtl/>
        </w:rPr>
        <w:t>סך של 700 ₪ בחודש.</w:t>
      </w:r>
    </w:p>
    <w:p w:rsidR="003C7884" w:rsidRDefault="003C7884" w:rsidP="00EB7718">
      <w:pPr>
        <w:pStyle w:val="ad"/>
        <w:numPr>
          <w:ilvl w:val="0"/>
          <w:numId w:val="8"/>
        </w:numPr>
        <w:tabs>
          <w:tab w:val="left" w:pos="425"/>
        </w:tabs>
        <w:spacing w:after="0" w:line="360" w:lineRule="auto"/>
        <w:ind w:left="1275" w:hanging="425"/>
        <w:jc w:val="both"/>
        <w:rPr>
          <w:rFonts w:ascii="David" w:eastAsia="Times New Roman" w:hAnsi="David" w:cs="David"/>
          <w:sz w:val="24"/>
          <w:szCs w:val="24"/>
        </w:rPr>
      </w:pPr>
      <w:r>
        <w:rPr>
          <w:rFonts w:ascii="David" w:eastAsia="Times New Roman" w:hAnsi="David" w:cs="David" w:hint="cs"/>
          <w:sz w:val="24"/>
          <w:szCs w:val="24"/>
          <w:rtl/>
        </w:rPr>
        <w:t>בנוסף ישלם הנתבע לידי התובעת, בעבור השתתפותו בהוצאות אחזקת המדור של הקטינים, סך של 500 ₪ לחודש, שיתווסף לסכום המזונות החודשי.</w:t>
      </w:r>
    </w:p>
    <w:p w:rsidR="000D324B" w:rsidRPr="00EB7718" w:rsidRDefault="000D324B" w:rsidP="00EB7718">
      <w:pPr>
        <w:pStyle w:val="ad"/>
        <w:numPr>
          <w:ilvl w:val="0"/>
          <w:numId w:val="8"/>
        </w:numPr>
        <w:tabs>
          <w:tab w:val="left" w:pos="708"/>
        </w:tabs>
        <w:spacing w:after="0" w:line="360" w:lineRule="auto"/>
        <w:ind w:left="1275" w:hanging="425"/>
        <w:jc w:val="both"/>
        <w:rPr>
          <w:rFonts w:ascii="David" w:eastAsia="Times New Roman" w:hAnsi="David" w:cs="David"/>
          <w:sz w:val="24"/>
          <w:szCs w:val="24"/>
        </w:rPr>
      </w:pPr>
      <w:r w:rsidRPr="00EB7718">
        <w:rPr>
          <w:rFonts w:ascii="David" w:eastAsia="Times New Roman" w:hAnsi="David" w:cs="David"/>
          <w:sz w:val="24"/>
          <w:szCs w:val="24"/>
          <w:rtl/>
        </w:rPr>
        <w:t xml:space="preserve">תשלומי המזונות ישולמו </w:t>
      </w:r>
      <w:r w:rsidRPr="00EB7718">
        <w:rPr>
          <w:rFonts w:ascii="David" w:hAnsi="David" w:cs="David"/>
          <w:sz w:val="24"/>
          <w:szCs w:val="24"/>
          <w:rtl/>
        </w:rPr>
        <w:t xml:space="preserve">ישירות לתובעת, בכל 10 לחודש ומראש בעבור אותו החודש, עד הגיעו של כל אחד מהקטינים לגיל 18 שנה ו/או עד סיום יב' כיתות, לפי המאוחר </w:t>
      </w:r>
      <w:r w:rsidRPr="00EB7718">
        <w:rPr>
          <w:rFonts w:ascii="David" w:hAnsi="David" w:cs="David"/>
          <w:sz w:val="24"/>
          <w:szCs w:val="24"/>
          <w:rtl/>
        </w:rPr>
        <w:lastRenderedPageBreak/>
        <w:t>מבין השניים. מהגיעו של כל קטין/נה לגיל 18 שנה ו/או ממועד סיום הלימודים בתיכון, לפי המאוחר מבין השניים, ועד לתום תקופת השירות הצבאי הסדיר ו/או השירות הלאומי, יעמדו דמי המזונות על 1/3 משיעורם עובר לגיוסם</w:t>
      </w:r>
      <w:r w:rsidR="00955D93">
        <w:rPr>
          <w:rFonts w:ascii="David" w:hAnsi="David" w:cs="David" w:hint="cs"/>
          <w:sz w:val="24"/>
          <w:szCs w:val="24"/>
          <w:rtl/>
        </w:rPr>
        <w:t xml:space="preserve"> וישולמו עד תום שירות חובה</w:t>
      </w:r>
      <w:r w:rsidRPr="00EB7718">
        <w:rPr>
          <w:rFonts w:ascii="David" w:hAnsi="David" w:cs="David"/>
          <w:sz w:val="24"/>
          <w:szCs w:val="24"/>
          <w:rtl/>
        </w:rPr>
        <w:t>.</w:t>
      </w:r>
    </w:p>
    <w:p w:rsidR="0086387F" w:rsidRDefault="000D324B" w:rsidP="0086387F">
      <w:pPr>
        <w:pStyle w:val="ad"/>
        <w:numPr>
          <w:ilvl w:val="0"/>
          <w:numId w:val="8"/>
        </w:numPr>
        <w:tabs>
          <w:tab w:val="left" w:pos="425"/>
        </w:tabs>
        <w:spacing w:after="0" w:line="360" w:lineRule="auto"/>
        <w:ind w:left="1275" w:hanging="425"/>
        <w:jc w:val="both"/>
        <w:rPr>
          <w:rFonts w:ascii="David" w:hAnsi="David" w:cs="David"/>
          <w:sz w:val="24"/>
          <w:szCs w:val="24"/>
        </w:rPr>
      </w:pPr>
      <w:r>
        <w:rPr>
          <w:rFonts w:ascii="David" w:hAnsi="David" w:cs="David"/>
          <w:sz w:val="24"/>
          <w:szCs w:val="24"/>
          <w:rtl/>
        </w:rPr>
        <w:t>דמי המזונות יהיו צמודים למדד המחירים לצרכן ויעודכנו אחת ל-3 חודשים, ללא הפרשים רטרואקטיביים בין תקופה אחת לרע</w:t>
      </w:r>
      <w:r w:rsidR="00EB7718">
        <w:rPr>
          <w:rFonts w:ascii="David" w:hAnsi="David" w:cs="David"/>
          <w:sz w:val="24"/>
          <w:szCs w:val="24"/>
          <w:rtl/>
        </w:rPr>
        <w:t xml:space="preserve">ותה. מדד הבסיס לחישוב יהיה מדד </w:t>
      </w:r>
      <w:r>
        <w:rPr>
          <w:rFonts w:ascii="David" w:hAnsi="David" w:cs="David"/>
          <w:sz w:val="24"/>
          <w:szCs w:val="24"/>
          <w:rtl/>
        </w:rPr>
        <w:t xml:space="preserve">חודש </w:t>
      </w:r>
      <w:r w:rsidR="00EB7718">
        <w:rPr>
          <w:rFonts w:ascii="David" w:hAnsi="David" w:cs="David" w:hint="cs"/>
          <w:sz w:val="24"/>
          <w:szCs w:val="24"/>
          <w:rtl/>
        </w:rPr>
        <w:t>8/2024.</w:t>
      </w:r>
    </w:p>
    <w:p w:rsidR="0086387F" w:rsidRDefault="000D324B" w:rsidP="00AA1B1F">
      <w:pPr>
        <w:pStyle w:val="ad"/>
        <w:numPr>
          <w:ilvl w:val="0"/>
          <w:numId w:val="8"/>
        </w:numPr>
        <w:tabs>
          <w:tab w:val="left" w:pos="425"/>
        </w:tabs>
        <w:spacing w:after="0" w:line="360" w:lineRule="auto"/>
        <w:ind w:left="1275" w:hanging="425"/>
        <w:jc w:val="both"/>
        <w:rPr>
          <w:rFonts w:ascii="David" w:hAnsi="David" w:cs="David"/>
          <w:sz w:val="24"/>
          <w:szCs w:val="24"/>
        </w:rPr>
      </w:pPr>
      <w:r w:rsidRPr="0086387F">
        <w:rPr>
          <w:rFonts w:ascii="David" w:hAnsi="David" w:cs="David"/>
          <w:b/>
          <w:bCs/>
          <w:sz w:val="24"/>
          <w:szCs w:val="24"/>
          <w:rtl/>
        </w:rPr>
        <w:t>שני ההורים יישאו בהוצאות הרפואיות החריגות</w:t>
      </w:r>
      <w:r w:rsidRPr="0086387F">
        <w:rPr>
          <w:rFonts w:ascii="David" w:hAnsi="David" w:cs="David"/>
          <w:sz w:val="24"/>
          <w:szCs w:val="24"/>
          <w:rtl/>
        </w:rPr>
        <w:t xml:space="preserve"> של הקטינים שאינן מכוסות על ידי ביטוח בריאות ממלכתי בו מבוטחים הקטינים, </w:t>
      </w:r>
      <w:r w:rsidR="00EB7718" w:rsidRPr="0086387F">
        <w:rPr>
          <w:rFonts w:ascii="David" w:hAnsi="David" w:cs="David" w:hint="cs"/>
          <w:b/>
          <w:bCs/>
          <w:sz w:val="24"/>
          <w:szCs w:val="24"/>
          <w:rtl/>
        </w:rPr>
        <w:t>ו</w:t>
      </w:r>
      <w:r w:rsidR="0086387F" w:rsidRPr="0086387F">
        <w:rPr>
          <w:rFonts w:ascii="David" w:hAnsi="David" w:cs="David" w:hint="cs"/>
          <w:b/>
          <w:bCs/>
          <w:sz w:val="24"/>
          <w:szCs w:val="24"/>
          <w:rtl/>
        </w:rPr>
        <w:t>כן ב</w:t>
      </w:r>
      <w:r w:rsidR="00EB7718" w:rsidRPr="0086387F">
        <w:rPr>
          <w:rFonts w:ascii="David" w:hAnsi="David" w:cs="David" w:hint="cs"/>
          <w:b/>
          <w:bCs/>
          <w:sz w:val="24"/>
          <w:szCs w:val="24"/>
          <w:rtl/>
        </w:rPr>
        <w:t>הוצאות החינוך החריגות</w:t>
      </w:r>
      <w:r w:rsidR="00EB7718" w:rsidRPr="0086387F">
        <w:rPr>
          <w:rFonts w:ascii="David" w:hAnsi="David" w:cs="David" w:hint="cs"/>
          <w:sz w:val="24"/>
          <w:szCs w:val="24"/>
          <w:rtl/>
        </w:rPr>
        <w:t xml:space="preserve"> של הקטינים בחלקים </w:t>
      </w:r>
      <w:r w:rsidR="00AA1B1F">
        <w:rPr>
          <w:rFonts w:ascii="David" w:hAnsi="David" w:cs="David" w:hint="cs"/>
          <w:sz w:val="24"/>
          <w:szCs w:val="24"/>
          <w:rtl/>
        </w:rPr>
        <w:t>שווים</w:t>
      </w:r>
      <w:r w:rsidRPr="0086387F">
        <w:rPr>
          <w:rFonts w:ascii="David" w:hAnsi="David" w:cs="David"/>
          <w:sz w:val="24"/>
          <w:szCs w:val="24"/>
          <w:rtl/>
        </w:rPr>
        <w:t xml:space="preserve">. </w:t>
      </w:r>
    </w:p>
    <w:p w:rsidR="000D324B" w:rsidRPr="0086387F" w:rsidRDefault="000D324B" w:rsidP="00F94C60">
      <w:pPr>
        <w:pStyle w:val="ad"/>
        <w:tabs>
          <w:tab w:val="left" w:pos="425"/>
        </w:tabs>
        <w:spacing w:after="0" w:line="360" w:lineRule="auto"/>
        <w:ind w:left="1275"/>
        <w:jc w:val="both"/>
        <w:rPr>
          <w:rFonts w:ascii="David" w:hAnsi="David" w:cs="David"/>
          <w:sz w:val="24"/>
          <w:szCs w:val="24"/>
        </w:rPr>
      </w:pPr>
      <w:r w:rsidRPr="0086387F">
        <w:rPr>
          <w:rFonts w:ascii="David" w:hAnsi="David" w:cs="David"/>
          <w:b/>
          <w:bCs/>
          <w:sz w:val="24"/>
          <w:szCs w:val="24"/>
          <w:rtl/>
        </w:rPr>
        <w:t xml:space="preserve">הוצאות </w:t>
      </w:r>
      <w:r w:rsidR="00EB7718" w:rsidRPr="0086387F">
        <w:rPr>
          <w:rFonts w:ascii="David" w:hAnsi="David" w:cs="David" w:hint="cs"/>
          <w:b/>
          <w:bCs/>
          <w:sz w:val="24"/>
          <w:szCs w:val="24"/>
          <w:rtl/>
        </w:rPr>
        <w:t xml:space="preserve">הבריאות </w:t>
      </w:r>
      <w:r w:rsidRPr="0086387F">
        <w:rPr>
          <w:rFonts w:ascii="David" w:hAnsi="David" w:cs="David"/>
          <w:b/>
          <w:bCs/>
          <w:sz w:val="24"/>
          <w:szCs w:val="24"/>
          <w:rtl/>
        </w:rPr>
        <w:t>כוללות</w:t>
      </w:r>
      <w:r w:rsidR="00EB7718" w:rsidRPr="0086387F">
        <w:rPr>
          <w:rFonts w:ascii="David" w:hAnsi="David" w:cs="David" w:hint="cs"/>
          <w:sz w:val="24"/>
          <w:szCs w:val="24"/>
          <w:rtl/>
        </w:rPr>
        <w:t>:</w:t>
      </w:r>
      <w:r w:rsidR="0020271F" w:rsidRPr="0086387F">
        <w:rPr>
          <w:rFonts w:ascii="David" w:hAnsi="David" w:cs="David" w:hint="cs"/>
          <w:sz w:val="24"/>
          <w:szCs w:val="24"/>
          <w:rtl/>
        </w:rPr>
        <w:t xml:space="preserve"> </w:t>
      </w:r>
      <w:r w:rsidRPr="0086387F">
        <w:rPr>
          <w:rFonts w:ascii="David" w:hAnsi="David" w:cs="David"/>
          <w:sz w:val="24"/>
          <w:szCs w:val="24"/>
          <w:rtl/>
        </w:rPr>
        <w:t xml:space="preserve">טיפולים </w:t>
      </w:r>
      <w:r w:rsidR="009B7D2C" w:rsidRPr="0086387F">
        <w:rPr>
          <w:rFonts w:ascii="David" w:hAnsi="David" w:cs="David" w:hint="cs"/>
          <w:sz w:val="24"/>
          <w:szCs w:val="24"/>
          <w:rtl/>
        </w:rPr>
        <w:t>רגשיים</w:t>
      </w:r>
      <w:r w:rsidR="002711F4" w:rsidRPr="0086387F">
        <w:rPr>
          <w:rFonts w:ascii="David" w:hAnsi="David" w:cs="David" w:hint="cs"/>
          <w:sz w:val="24"/>
          <w:szCs w:val="24"/>
          <w:rtl/>
        </w:rPr>
        <w:t xml:space="preserve"> ו/או </w:t>
      </w:r>
      <w:r w:rsidRPr="0086387F">
        <w:rPr>
          <w:rFonts w:ascii="David" w:hAnsi="David" w:cs="David"/>
          <w:sz w:val="24"/>
          <w:szCs w:val="24"/>
          <w:rtl/>
        </w:rPr>
        <w:t>פסיכולוגים</w:t>
      </w:r>
      <w:r w:rsidR="002711F4" w:rsidRPr="0086387F">
        <w:rPr>
          <w:rFonts w:ascii="David" w:hAnsi="David" w:cs="David" w:hint="cs"/>
          <w:sz w:val="24"/>
          <w:szCs w:val="24"/>
          <w:rtl/>
        </w:rPr>
        <w:t xml:space="preserve"> ו/או נ</w:t>
      </w:r>
      <w:r w:rsidR="009B7D2C" w:rsidRPr="0086387F">
        <w:rPr>
          <w:rFonts w:ascii="David" w:hAnsi="David" w:cs="David" w:hint="cs"/>
          <w:sz w:val="24"/>
          <w:szCs w:val="24"/>
          <w:rtl/>
        </w:rPr>
        <w:t>פשיים</w:t>
      </w:r>
      <w:r w:rsidRPr="0086387F">
        <w:rPr>
          <w:rFonts w:ascii="David" w:hAnsi="David" w:cs="David"/>
          <w:sz w:val="24"/>
          <w:szCs w:val="24"/>
          <w:rtl/>
        </w:rPr>
        <w:t>, אבחונים, טיפולי שיניים כולל אורתודנטיה, משקפיים וכיוצ"ב. באין הסכמה יכריע רופא ילדים או רופא מקצועי.</w:t>
      </w:r>
      <w:r w:rsidR="00EB7718" w:rsidRPr="0086387F">
        <w:rPr>
          <w:rFonts w:ascii="David" w:hAnsi="David" w:cs="David" w:hint="cs"/>
          <w:sz w:val="24"/>
          <w:szCs w:val="24"/>
          <w:rtl/>
        </w:rPr>
        <w:t xml:space="preserve"> </w:t>
      </w:r>
      <w:r w:rsidR="00955D93" w:rsidRPr="0086387F">
        <w:rPr>
          <w:rFonts w:ascii="David" w:hAnsi="David" w:cs="David" w:hint="cs"/>
          <w:sz w:val="24"/>
          <w:szCs w:val="24"/>
          <w:rtl/>
        </w:rPr>
        <w:t>יובהר, כי נכון לעת הזו, מאחר וסוגיית הטיפולים הרגשיים של הקטינים נידונה במסגרת הליך קשור בענין הקטינים, וניתנה החלטה</w:t>
      </w:r>
      <w:r w:rsidR="002711F4" w:rsidRPr="0086387F">
        <w:rPr>
          <w:rFonts w:ascii="David" w:hAnsi="David" w:cs="David" w:hint="cs"/>
          <w:sz w:val="24"/>
          <w:szCs w:val="24"/>
          <w:rtl/>
        </w:rPr>
        <w:t xml:space="preserve"> שיפוטית בענין הגורם הטיפולי, </w:t>
      </w:r>
      <w:r w:rsidR="00955D93" w:rsidRPr="0086387F">
        <w:rPr>
          <w:rFonts w:ascii="David" w:hAnsi="David" w:cs="David" w:hint="cs"/>
          <w:sz w:val="24"/>
          <w:szCs w:val="24"/>
          <w:rtl/>
        </w:rPr>
        <w:t xml:space="preserve">על הצדדים לשאת, בהוצאות הטיפולים הרגשיים של הקטינים </w:t>
      </w:r>
      <w:r w:rsidR="002711F4" w:rsidRPr="0086387F">
        <w:rPr>
          <w:rFonts w:ascii="David" w:hAnsi="David" w:cs="David" w:hint="cs"/>
          <w:sz w:val="24"/>
          <w:szCs w:val="24"/>
          <w:rtl/>
        </w:rPr>
        <w:t xml:space="preserve">כפי שמתקיימים היום לרבות </w:t>
      </w:r>
      <w:r w:rsidR="00955D93" w:rsidRPr="0086387F">
        <w:rPr>
          <w:rFonts w:ascii="David" w:hAnsi="David" w:cs="David" w:hint="cs"/>
          <w:sz w:val="24"/>
          <w:szCs w:val="24"/>
          <w:rtl/>
        </w:rPr>
        <w:t>במרכז גאיה</w:t>
      </w:r>
      <w:r w:rsidR="002711F4" w:rsidRPr="0086387F">
        <w:rPr>
          <w:rFonts w:ascii="David" w:hAnsi="David" w:cs="David" w:hint="cs"/>
          <w:sz w:val="24"/>
          <w:szCs w:val="24"/>
          <w:rtl/>
        </w:rPr>
        <w:t>, מבלי צורך לקבל אישור גורם מקצועי כלשהו.</w:t>
      </w:r>
      <w:r w:rsidR="00955D93" w:rsidRPr="0086387F">
        <w:rPr>
          <w:rFonts w:ascii="David" w:hAnsi="David" w:cs="David" w:hint="cs"/>
          <w:b/>
          <w:bCs/>
          <w:sz w:val="24"/>
          <w:szCs w:val="24"/>
          <w:rtl/>
        </w:rPr>
        <w:t xml:space="preserve"> </w:t>
      </w:r>
      <w:r w:rsidR="00EB7718" w:rsidRPr="0086387F">
        <w:rPr>
          <w:rFonts w:ascii="David" w:hAnsi="David" w:cs="David" w:hint="cs"/>
          <w:b/>
          <w:bCs/>
          <w:sz w:val="24"/>
          <w:szCs w:val="24"/>
          <w:rtl/>
        </w:rPr>
        <w:t xml:space="preserve">הוצאות החינוך כוללות: </w:t>
      </w:r>
      <w:r w:rsidRPr="0086387F">
        <w:rPr>
          <w:rFonts w:ascii="David" w:hAnsi="David" w:cs="David"/>
          <w:sz w:val="24"/>
          <w:szCs w:val="24"/>
          <w:rtl/>
        </w:rPr>
        <w:t xml:space="preserve">צהרון (עד </w:t>
      </w:r>
      <w:r w:rsidR="006172AD" w:rsidRPr="0086387F">
        <w:rPr>
          <w:rFonts w:ascii="David" w:hAnsi="David" w:cs="David" w:hint="cs"/>
          <w:sz w:val="24"/>
          <w:szCs w:val="24"/>
          <w:rtl/>
        </w:rPr>
        <w:t xml:space="preserve">סוף </w:t>
      </w:r>
      <w:r w:rsidRPr="0086387F">
        <w:rPr>
          <w:rFonts w:ascii="David" w:hAnsi="David" w:cs="David"/>
          <w:sz w:val="24"/>
          <w:szCs w:val="24"/>
          <w:rtl/>
        </w:rPr>
        <w:t xml:space="preserve">כיתה </w:t>
      </w:r>
      <w:r w:rsidR="006172AD" w:rsidRPr="0086387F">
        <w:rPr>
          <w:rFonts w:ascii="David" w:hAnsi="David" w:cs="David" w:hint="cs"/>
          <w:sz w:val="24"/>
          <w:szCs w:val="24"/>
          <w:rtl/>
        </w:rPr>
        <w:t>ד</w:t>
      </w:r>
      <w:r w:rsidRPr="0086387F">
        <w:rPr>
          <w:rFonts w:ascii="David" w:hAnsi="David" w:cs="David"/>
          <w:sz w:val="24"/>
          <w:szCs w:val="24"/>
          <w:rtl/>
        </w:rPr>
        <w:t>' כולל), קייטנה בחופשת הפסח ו-2 מחזורים בחופשת הקיץ</w:t>
      </w:r>
      <w:r w:rsidR="004A032C" w:rsidRPr="0086387F">
        <w:rPr>
          <w:rFonts w:ascii="David" w:hAnsi="David" w:cs="David" w:hint="cs"/>
          <w:sz w:val="24"/>
          <w:szCs w:val="24"/>
          <w:rtl/>
        </w:rPr>
        <w:t>, לרבות קייטנת שחייה של הקטינה</w:t>
      </w:r>
      <w:r w:rsidRPr="0086387F">
        <w:rPr>
          <w:rFonts w:ascii="David" w:hAnsi="David" w:cs="David"/>
          <w:sz w:val="24"/>
          <w:szCs w:val="24"/>
          <w:rtl/>
        </w:rPr>
        <w:t xml:space="preserve">, 2 חוגים לכל קטין, </w:t>
      </w:r>
      <w:r w:rsidR="004A032C" w:rsidRPr="0086387F">
        <w:rPr>
          <w:rFonts w:ascii="David" w:hAnsi="David" w:cs="David" w:hint="cs"/>
          <w:sz w:val="24"/>
          <w:szCs w:val="24"/>
          <w:rtl/>
        </w:rPr>
        <w:t xml:space="preserve">כאשר כל הוצאות הקטינה בקשר להשתתפותה במסגרת </w:t>
      </w:r>
      <w:r w:rsidR="00955D93" w:rsidRPr="0086387F">
        <w:rPr>
          <w:rFonts w:ascii="David" w:hAnsi="David" w:cs="David" w:hint="cs"/>
          <w:sz w:val="24"/>
          <w:szCs w:val="24"/>
          <w:rtl/>
        </w:rPr>
        <w:t>של לימוד ש</w:t>
      </w:r>
      <w:r w:rsidR="004A032C" w:rsidRPr="0086387F">
        <w:rPr>
          <w:rFonts w:ascii="David" w:hAnsi="David" w:cs="David" w:hint="cs"/>
          <w:sz w:val="24"/>
          <w:szCs w:val="24"/>
          <w:rtl/>
        </w:rPr>
        <w:t>חייה, לרבות הוצאות עבור אימונים ותחרויות</w:t>
      </w:r>
      <w:r w:rsidR="00955D93" w:rsidRPr="0086387F">
        <w:rPr>
          <w:rFonts w:ascii="David" w:hAnsi="David" w:cs="David" w:hint="cs"/>
          <w:sz w:val="24"/>
          <w:szCs w:val="24"/>
          <w:rtl/>
        </w:rPr>
        <w:t>,</w:t>
      </w:r>
      <w:r w:rsidR="004A032C" w:rsidRPr="0086387F">
        <w:rPr>
          <w:rFonts w:ascii="David" w:hAnsi="David" w:cs="David" w:hint="cs"/>
          <w:sz w:val="24"/>
          <w:szCs w:val="24"/>
          <w:rtl/>
        </w:rPr>
        <w:t xml:space="preserve"> יחשבו, לשם חלוקת הנטל בהוצאות, כחוג לכל דבר וענין, </w:t>
      </w:r>
      <w:r w:rsidRPr="0086387F">
        <w:rPr>
          <w:rFonts w:ascii="David" w:hAnsi="David" w:cs="David"/>
          <w:sz w:val="24"/>
          <w:szCs w:val="24"/>
          <w:rtl/>
        </w:rPr>
        <w:t>תשלומים לבי"ס (לרבות ועד, תשלומי הורים), ציוד למסגרת החינוכית, ספרי לימוד וציוד לימודי, שיעורים פרטיים</w:t>
      </w:r>
      <w:r w:rsidR="00EE6F62" w:rsidRPr="0086387F">
        <w:rPr>
          <w:rFonts w:ascii="David" w:hAnsi="David" w:cs="David" w:hint="cs"/>
          <w:sz w:val="24"/>
          <w:szCs w:val="24"/>
          <w:rtl/>
        </w:rPr>
        <w:t xml:space="preserve"> לרבות בהוראה מתקנת</w:t>
      </w:r>
      <w:r w:rsidRPr="0086387F">
        <w:rPr>
          <w:rFonts w:ascii="David" w:hAnsi="David" w:cs="David"/>
          <w:sz w:val="24"/>
          <w:szCs w:val="24"/>
          <w:rtl/>
        </w:rPr>
        <w:t>, תנועת נוער</w:t>
      </w:r>
      <w:r w:rsidR="006172AD" w:rsidRPr="0086387F">
        <w:rPr>
          <w:rFonts w:ascii="David" w:hAnsi="David" w:cs="David" w:hint="cs"/>
          <w:sz w:val="24"/>
          <w:szCs w:val="24"/>
          <w:rtl/>
        </w:rPr>
        <w:t>, מסע לפולין במסגרת בית ספרית, והכל בקיזוז המענק שזכאית לו האם מביטו</w:t>
      </w:r>
      <w:r w:rsidR="00F94C60">
        <w:rPr>
          <w:rFonts w:ascii="David" w:hAnsi="David" w:cs="David" w:hint="cs"/>
          <w:sz w:val="24"/>
          <w:szCs w:val="24"/>
          <w:rtl/>
        </w:rPr>
        <w:t>ח</w:t>
      </w:r>
      <w:r w:rsidR="006172AD" w:rsidRPr="0086387F">
        <w:rPr>
          <w:rFonts w:ascii="David" w:hAnsi="David" w:cs="David" w:hint="cs"/>
          <w:sz w:val="24"/>
          <w:szCs w:val="24"/>
          <w:rtl/>
        </w:rPr>
        <w:t xml:space="preserve"> לאומי, בתחילת כל שנה, ככל שיתקבל בידה.</w:t>
      </w:r>
      <w:r w:rsidRPr="0086387F">
        <w:rPr>
          <w:rFonts w:ascii="David" w:hAnsi="David" w:cs="David"/>
          <w:sz w:val="24"/>
          <w:szCs w:val="24"/>
          <w:rtl/>
        </w:rPr>
        <w:t xml:space="preserve"> באין הסכמה על הצורך יכריע מורה מחנך, מורה מקצועי או יועץ בית הספר.</w:t>
      </w:r>
    </w:p>
    <w:p w:rsidR="000D324B" w:rsidRDefault="000D324B" w:rsidP="00AD2439">
      <w:pPr>
        <w:pStyle w:val="ad"/>
        <w:numPr>
          <w:ilvl w:val="0"/>
          <w:numId w:val="8"/>
        </w:numPr>
        <w:tabs>
          <w:tab w:val="left" w:pos="425"/>
        </w:tabs>
        <w:spacing w:after="0" w:line="360" w:lineRule="auto"/>
        <w:ind w:left="1275" w:hanging="425"/>
        <w:jc w:val="both"/>
        <w:rPr>
          <w:rFonts w:ascii="David" w:hAnsi="David" w:cs="David"/>
          <w:sz w:val="24"/>
          <w:szCs w:val="24"/>
          <w:rtl/>
        </w:rPr>
      </w:pPr>
      <w:r>
        <w:rPr>
          <w:rFonts w:ascii="David" w:hAnsi="David" w:cs="David"/>
          <w:sz w:val="24"/>
          <w:szCs w:val="24"/>
          <w:rtl/>
        </w:rPr>
        <w:t xml:space="preserve">סכום שלא ישולם במועדו יישא ריבית והפרשי הצמדה כחוק בין היום שנועד לתשלום לבין הפירעון המלא בפועל. </w:t>
      </w:r>
    </w:p>
    <w:p w:rsidR="000D324B" w:rsidRDefault="000D324B" w:rsidP="00955D93">
      <w:pPr>
        <w:pStyle w:val="ad"/>
        <w:numPr>
          <w:ilvl w:val="0"/>
          <w:numId w:val="8"/>
        </w:numPr>
        <w:tabs>
          <w:tab w:val="left" w:pos="425"/>
        </w:tabs>
        <w:spacing w:after="0" w:line="360" w:lineRule="auto"/>
        <w:ind w:left="1275" w:hanging="425"/>
        <w:jc w:val="both"/>
        <w:rPr>
          <w:rFonts w:ascii="David" w:hAnsi="David" w:cs="David"/>
          <w:sz w:val="24"/>
          <w:szCs w:val="24"/>
        </w:rPr>
      </w:pPr>
      <w:r>
        <w:rPr>
          <w:rFonts w:ascii="David" w:hAnsi="David" w:cs="David"/>
          <w:sz w:val="24"/>
          <w:szCs w:val="24"/>
          <w:rtl/>
        </w:rPr>
        <w:t xml:space="preserve">קצבת הילדים </w:t>
      </w:r>
      <w:r w:rsidR="00955D93">
        <w:rPr>
          <w:rFonts w:ascii="David" w:hAnsi="David" w:cs="David"/>
          <w:sz w:val="24"/>
          <w:szCs w:val="24"/>
          <w:rtl/>
        </w:rPr>
        <w:t xml:space="preserve">מאת המל"ל </w:t>
      </w:r>
      <w:r w:rsidR="00955D93">
        <w:rPr>
          <w:rFonts w:ascii="David" w:hAnsi="David" w:cs="David" w:hint="cs"/>
          <w:sz w:val="24"/>
          <w:szCs w:val="24"/>
          <w:rtl/>
        </w:rPr>
        <w:t xml:space="preserve">וכל קצבה נוספת, ככל שתתקבל בגין הקטינים, </w:t>
      </w:r>
      <w:r>
        <w:rPr>
          <w:rFonts w:ascii="David" w:hAnsi="David" w:cs="David"/>
          <w:sz w:val="24"/>
          <w:szCs w:val="24"/>
          <w:rtl/>
        </w:rPr>
        <w:t>תשולם לידי האם, בנוסף לדמי המזונות.</w:t>
      </w:r>
    </w:p>
    <w:p w:rsidR="000D324B" w:rsidRDefault="000D324B" w:rsidP="00AA1B1F">
      <w:pPr>
        <w:pStyle w:val="ad"/>
        <w:numPr>
          <w:ilvl w:val="0"/>
          <w:numId w:val="1"/>
        </w:numPr>
        <w:tabs>
          <w:tab w:val="left" w:pos="425"/>
        </w:tabs>
        <w:spacing w:line="360" w:lineRule="auto"/>
        <w:ind w:hanging="437"/>
        <w:jc w:val="both"/>
        <w:rPr>
          <w:rFonts w:ascii="David" w:hAnsi="David" w:cs="David"/>
          <w:sz w:val="24"/>
          <w:szCs w:val="24"/>
        </w:rPr>
      </w:pPr>
      <w:r>
        <w:rPr>
          <w:rFonts w:ascii="David" w:hAnsi="David" w:cs="David"/>
          <w:sz w:val="24"/>
          <w:szCs w:val="24"/>
          <w:rtl/>
        </w:rPr>
        <w:t xml:space="preserve">החלטה זו הינה בתוקף מיום </w:t>
      </w:r>
      <w:r w:rsidR="00884245">
        <w:rPr>
          <w:rFonts w:ascii="David" w:hAnsi="David" w:cs="David" w:hint="cs"/>
          <w:sz w:val="24"/>
          <w:szCs w:val="24"/>
          <w:rtl/>
        </w:rPr>
        <w:t>1.3.2022</w:t>
      </w:r>
      <w:r w:rsidR="00AA1B1F">
        <w:rPr>
          <w:rFonts w:ascii="David" w:hAnsi="David" w:cs="David" w:hint="cs"/>
          <w:sz w:val="24"/>
          <w:szCs w:val="24"/>
          <w:rtl/>
        </w:rPr>
        <w:t>.</w:t>
      </w:r>
      <w:r w:rsidR="00F52E0E">
        <w:rPr>
          <w:rFonts w:ascii="David" w:hAnsi="David" w:cs="David" w:hint="cs"/>
          <w:sz w:val="24"/>
          <w:szCs w:val="24"/>
          <w:rtl/>
        </w:rPr>
        <w:t xml:space="preserve"> </w:t>
      </w:r>
      <w:r>
        <w:rPr>
          <w:rFonts w:ascii="David" w:hAnsi="David" w:cs="David"/>
          <w:sz w:val="24"/>
          <w:szCs w:val="24"/>
          <w:rtl/>
        </w:rPr>
        <w:t>הפרשי עבר,</w:t>
      </w:r>
      <w:r w:rsidR="00884245">
        <w:rPr>
          <w:rFonts w:ascii="David" w:hAnsi="David" w:cs="David" w:hint="cs"/>
          <w:sz w:val="24"/>
          <w:szCs w:val="24"/>
          <w:rtl/>
        </w:rPr>
        <w:t xml:space="preserve"> </w:t>
      </w:r>
      <w:r>
        <w:rPr>
          <w:rFonts w:ascii="David" w:hAnsi="David" w:cs="David"/>
          <w:sz w:val="24"/>
          <w:szCs w:val="24"/>
          <w:rtl/>
        </w:rPr>
        <w:t xml:space="preserve">בניכוי תשלומים ששולמו בפועל, מאז פסיקת המזונות הזמניים, ישולמו ב- </w:t>
      </w:r>
      <w:r w:rsidR="0086387F">
        <w:rPr>
          <w:rFonts w:ascii="David" w:hAnsi="David" w:cs="David" w:hint="cs"/>
          <w:sz w:val="24"/>
          <w:szCs w:val="24"/>
          <w:rtl/>
        </w:rPr>
        <w:t>10</w:t>
      </w:r>
      <w:r>
        <w:rPr>
          <w:rFonts w:ascii="David" w:hAnsi="David" w:cs="David"/>
          <w:sz w:val="24"/>
          <w:szCs w:val="24"/>
          <w:rtl/>
        </w:rPr>
        <w:t xml:space="preserve"> תשלומים שווים, שיצטרפו לדמי המזונות החודשיים השוטפים</w:t>
      </w:r>
      <w:r w:rsidR="0086387F">
        <w:rPr>
          <w:rFonts w:ascii="David" w:hAnsi="David" w:cs="David" w:hint="cs"/>
          <w:sz w:val="24"/>
          <w:szCs w:val="24"/>
          <w:rtl/>
        </w:rPr>
        <w:t>, אשר ישולמו מידי 10 לכל חודש, בעבור אותו החודש מראש.</w:t>
      </w:r>
      <w:r w:rsidR="00884245">
        <w:rPr>
          <w:rFonts w:ascii="David" w:hAnsi="David" w:cs="David" w:hint="cs"/>
          <w:sz w:val="24"/>
          <w:szCs w:val="24"/>
          <w:rtl/>
        </w:rPr>
        <w:t xml:space="preserve"> </w:t>
      </w:r>
    </w:p>
    <w:p w:rsidR="00441DFA" w:rsidRPr="0027755D" w:rsidRDefault="000D324B" w:rsidP="00797B0B">
      <w:pPr>
        <w:pStyle w:val="ad"/>
        <w:numPr>
          <w:ilvl w:val="0"/>
          <w:numId w:val="1"/>
        </w:numPr>
        <w:tabs>
          <w:tab w:val="left" w:pos="425"/>
        </w:tabs>
        <w:spacing w:line="360" w:lineRule="auto"/>
        <w:ind w:hanging="437"/>
        <w:jc w:val="both"/>
        <w:rPr>
          <w:rFonts w:ascii="David" w:hAnsi="David" w:cs="David"/>
          <w:sz w:val="24"/>
          <w:szCs w:val="24"/>
        </w:rPr>
      </w:pPr>
      <w:r w:rsidRPr="0027755D">
        <w:rPr>
          <w:rFonts w:ascii="David" w:hAnsi="David" w:cs="David"/>
          <w:b/>
          <w:bCs/>
          <w:sz w:val="24"/>
          <w:szCs w:val="24"/>
          <w:u w:val="single"/>
          <w:rtl/>
        </w:rPr>
        <w:t>הוצאות ההליך</w:t>
      </w:r>
      <w:r w:rsidRPr="0027755D">
        <w:rPr>
          <w:rFonts w:ascii="David" w:hAnsi="David" w:cs="David"/>
          <w:sz w:val="24"/>
          <w:szCs w:val="24"/>
          <w:rtl/>
        </w:rPr>
        <w:t xml:space="preserve"> –  </w:t>
      </w:r>
      <w:r w:rsidR="00797B0B" w:rsidRPr="0027755D">
        <w:rPr>
          <w:rFonts w:ascii="David" w:hAnsi="David" w:cs="David"/>
          <w:sz w:val="24"/>
          <w:szCs w:val="24"/>
          <w:rtl/>
        </w:rPr>
        <w:t xml:space="preserve">סוגיית ההוצאות ותכליתם הוסדרה בסעיפים 151-157 </w:t>
      </w:r>
      <w:r w:rsidR="00797B0B" w:rsidRPr="0027755D">
        <w:rPr>
          <w:rFonts w:ascii="David" w:hAnsi="David" w:cs="David"/>
          <w:b/>
          <w:bCs/>
          <w:sz w:val="24"/>
          <w:szCs w:val="24"/>
          <w:rtl/>
        </w:rPr>
        <w:t>לתקנות סדר הדין האזרחי תשע"ט -2018</w:t>
      </w:r>
      <w:r w:rsidR="00797B0B" w:rsidRPr="0027755D">
        <w:rPr>
          <w:rFonts w:ascii="David" w:hAnsi="David" w:cs="David"/>
          <w:sz w:val="24"/>
          <w:szCs w:val="24"/>
          <w:rtl/>
        </w:rPr>
        <w:t xml:space="preserve">. בסעיף 152 נקבע כי בתום הדיון על בית המשפט לפסוק הוצאות </w:t>
      </w:r>
      <w:r w:rsidR="00797B0B" w:rsidRPr="0027755D">
        <w:rPr>
          <w:rFonts w:ascii="David" w:hAnsi="David" w:cs="David"/>
          <w:sz w:val="24"/>
          <w:szCs w:val="24"/>
          <w:rtl/>
        </w:rPr>
        <w:lastRenderedPageBreak/>
        <w:t>"</w:t>
      </w:r>
      <w:r w:rsidR="00797B0B" w:rsidRPr="0027755D">
        <w:rPr>
          <w:rFonts w:ascii="David" w:hAnsi="David" w:cs="David"/>
          <w:b/>
          <w:bCs/>
          <w:sz w:val="24"/>
          <w:szCs w:val="24"/>
          <w:rtl/>
        </w:rPr>
        <w:t>סבירות והוגנות</w:t>
      </w:r>
      <w:r w:rsidR="00797B0B" w:rsidRPr="0027755D">
        <w:rPr>
          <w:rFonts w:ascii="David" w:hAnsi="David" w:cs="David"/>
          <w:sz w:val="24"/>
          <w:szCs w:val="24"/>
          <w:rtl/>
        </w:rPr>
        <w:t>" זולת "</w:t>
      </w:r>
      <w:r w:rsidR="00797B0B" w:rsidRPr="0027755D">
        <w:rPr>
          <w:rFonts w:ascii="David" w:hAnsi="David" w:cs="David"/>
          <w:b/>
          <w:bCs/>
          <w:sz w:val="24"/>
          <w:szCs w:val="24"/>
          <w:rtl/>
        </w:rPr>
        <w:t>אם מצא שקיימים טעמים מיוחדים שלא לחייב בהוצאות כאמור</w:t>
      </w:r>
      <w:r w:rsidR="00797B0B" w:rsidRPr="0027755D">
        <w:rPr>
          <w:rFonts w:ascii="David" w:hAnsi="David" w:cs="David"/>
          <w:sz w:val="24"/>
          <w:szCs w:val="24"/>
          <w:rtl/>
        </w:rPr>
        <w:t>" לפיכך, החוק קובע כי חיוב הוצאות הינו ברירת</w:t>
      </w:r>
      <w:r w:rsidR="00441DFA" w:rsidRPr="0027755D">
        <w:rPr>
          <w:rFonts w:ascii="David" w:hAnsi="David" w:cs="David"/>
          <w:sz w:val="24"/>
          <w:szCs w:val="24"/>
          <w:rtl/>
        </w:rPr>
        <w:t xml:space="preserve"> מחדל בסיומו שלך הליך משפטי</w:t>
      </w:r>
      <w:r w:rsidR="00441DFA" w:rsidRPr="0027755D">
        <w:rPr>
          <w:rFonts w:ascii="David" w:hAnsi="David" w:cs="David" w:hint="cs"/>
          <w:sz w:val="24"/>
          <w:szCs w:val="24"/>
          <w:rtl/>
        </w:rPr>
        <w:t>.</w:t>
      </w:r>
    </w:p>
    <w:p w:rsidR="0027755D" w:rsidRPr="005D5921" w:rsidRDefault="00441DFA" w:rsidP="005D5921">
      <w:pPr>
        <w:pStyle w:val="ad"/>
        <w:numPr>
          <w:ilvl w:val="0"/>
          <w:numId w:val="1"/>
        </w:numPr>
        <w:tabs>
          <w:tab w:val="left" w:pos="425"/>
        </w:tabs>
        <w:spacing w:line="360" w:lineRule="auto"/>
        <w:ind w:hanging="437"/>
        <w:jc w:val="both"/>
        <w:rPr>
          <w:rFonts w:ascii="David" w:hAnsi="David" w:cs="David"/>
          <w:sz w:val="24"/>
          <w:szCs w:val="24"/>
        </w:rPr>
      </w:pPr>
      <w:r w:rsidRPr="005D5921">
        <w:rPr>
          <w:rFonts w:ascii="David" w:hAnsi="David" w:cs="David" w:hint="cs"/>
          <w:sz w:val="24"/>
          <w:szCs w:val="24"/>
          <w:rtl/>
        </w:rPr>
        <w:t>עוד בהקשר האמור ראה את האמור ב</w:t>
      </w:r>
      <w:hyperlink r:id="rId15" w:history="1">
        <w:r w:rsidRPr="005D5921">
          <w:rPr>
            <w:rFonts w:ascii="Times New Roman" w:eastAsia="Times New Roman" w:hAnsi="Times New Roman" w:cs="David"/>
            <w:noProof/>
            <w:kern w:val="0"/>
            <w:sz w:val="24"/>
            <w:szCs w:val="24"/>
            <w:rtl/>
            <w14:ligatures w14:val="none"/>
          </w:rPr>
          <w:t>רע"א 7650/20 </w:t>
        </w:r>
        <w:r w:rsidRPr="005D5921">
          <w:rPr>
            <w:rFonts w:ascii="Times New Roman" w:eastAsia="Times New Roman" w:hAnsi="Times New Roman" w:cs="David"/>
            <w:b/>
            <w:bCs/>
            <w:noProof/>
            <w:kern w:val="0"/>
            <w:sz w:val="24"/>
            <w:szCs w:val="24"/>
            <w14:ligatures w14:val="none"/>
          </w:rPr>
          <w:t xml:space="preserve">Magic Software Enterprises Ltd </w:t>
        </w:r>
        <w:r w:rsidRPr="005D5921">
          <w:rPr>
            <w:rFonts w:ascii="Times New Roman" w:eastAsia="Times New Roman" w:hAnsi="Times New Roman" w:cs="David"/>
            <w:b/>
            <w:bCs/>
            <w:noProof/>
            <w:kern w:val="0"/>
            <w:sz w:val="24"/>
            <w:szCs w:val="24"/>
            <w:rtl/>
            <w14:ligatures w14:val="none"/>
          </w:rPr>
          <w:t>נ' פאיירפלאי בע"מ</w:t>
        </w:r>
        <w:r w:rsidRPr="005D5921">
          <w:rPr>
            <w:rFonts w:ascii="Times New Roman" w:eastAsia="Times New Roman" w:hAnsi="Times New Roman" w:cs="David"/>
            <w:noProof/>
            <w:kern w:val="0"/>
            <w:sz w:val="24"/>
            <w:szCs w:val="24"/>
            <w:rtl/>
            <w14:ligatures w14:val="none"/>
          </w:rPr>
          <w:t> (נבו 28.12.2020)‏</w:t>
        </w:r>
      </w:hyperlink>
      <w:r w:rsidRPr="005D5921">
        <w:rPr>
          <w:rFonts w:ascii="Times New Roman" w:eastAsia="Times New Roman" w:hAnsi="Times New Roman" w:cs="David"/>
          <w:noProof/>
          <w:kern w:val="0"/>
          <w:sz w:val="24"/>
          <w:szCs w:val="24"/>
          <w:rtl/>
          <w14:ligatures w14:val="none"/>
        </w:rPr>
        <w:t xml:space="preserve">‏ </w:t>
      </w:r>
      <w:r w:rsidRPr="005D5921">
        <w:rPr>
          <w:rFonts w:ascii="Times New Roman" w:eastAsia="Times New Roman" w:hAnsi="Times New Roman" w:cs="David" w:hint="cs"/>
          <w:noProof/>
          <w:kern w:val="0"/>
          <w:sz w:val="24"/>
          <w:szCs w:val="24"/>
          <w:rtl/>
          <w14:ligatures w14:val="none"/>
        </w:rPr>
        <w:t xml:space="preserve">לעניין קביעת שיעור ההוצאות: </w:t>
      </w:r>
      <w:r w:rsidRPr="005D5921">
        <w:rPr>
          <w:rFonts w:ascii="Times New Roman" w:eastAsia="Times New Roman" w:hAnsi="Times New Roman" w:cs="David"/>
          <w:noProof/>
          <w:color w:val="000000"/>
          <w:kern w:val="0"/>
          <w:sz w:val="24"/>
          <w:szCs w:val="24"/>
          <w:rtl/>
          <w14:ligatures w14:val="none"/>
        </w:rPr>
        <w:t>"</w:t>
      </w:r>
      <w:r w:rsidRPr="005D5921">
        <w:rPr>
          <w:rFonts w:ascii="Times New Roman" w:eastAsia="Times New Roman" w:hAnsi="Times New Roman" w:cs="David"/>
          <w:b/>
          <w:bCs/>
          <w:noProof/>
          <w:color w:val="000000"/>
          <w:kern w:val="0"/>
          <w:sz w:val="24"/>
          <w:szCs w:val="24"/>
          <w:rtl/>
          <w14:ligatures w14:val="none"/>
        </w:rPr>
        <w:t>על כן, שיעור ההוצאות הראוי נקבע תוך בחינת כל מקרה לגופו, תוך התחשבות במספר נתונים, ביניהם: אופן ניהול ההליך; היחס בין הסעד שנתבקש והסעד שנתקבל לבין שיעור ההוצאות; מורכבות התיק וחשיבותו; היקף העבודה שהושקעה על ידי בעל הדין בהליך; ושכר הטרחה ששולם בפועל או שבעל הדין התחייב לשלמו (ראו: ע"א 9535/04 סיעת "ביאליק 10 נ' סיעת "יש עתיד לביאליק", פ"ד ס(1) 391, 395 (2005) (להלן: עניין סיעת ביאליק)). בפרט, ההוצאות צריכות להיות פרופורציונליות להליך עצמו ולמהותו, שכן בכך יש כדי למנוע הטלת עלות-יתר על המפסיד להליך ולעודד ניהול הליך ראוי על ידי הזוכה (שם, עמ' 615). כמו כן, בהתאם לפסיקה, שימוש לרעה בהליכי משפט אף עשוי להביא לפסיקת הוצאות על הצד הגבוה (ראו לאחרונה: ע"א 4685/19 הרן נ' עיריית חולון, [פורסם בנבו] פסקה 6 (29.7.2020); רע"א 1239/19 שאול נ' חברת ניידלי תקשורת בע"מ, [פורסם בנבו] פסקה 55</w:t>
      </w:r>
      <w:r w:rsidRPr="005D5921">
        <w:rPr>
          <w:rFonts w:ascii="Times New Roman" w:eastAsia="Times New Roman" w:hAnsi="Times New Roman" w:cs="David"/>
          <w:b/>
          <w:bCs/>
          <w:noProof/>
          <w:color w:val="000000"/>
          <w:kern w:val="0"/>
          <w:sz w:val="24"/>
          <w:szCs w:val="24"/>
          <w14:ligatures w14:val="none"/>
        </w:rPr>
        <w:t xml:space="preserve"> (8.1.2020)</w:t>
      </w:r>
      <w:r w:rsidRPr="005D5921">
        <w:rPr>
          <w:rFonts w:ascii="Times New Roman" w:eastAsia="Times New Roman" w:hAnsi="Times New Roman" w:cs="David"/>
          <w:b/>
          <w:bCs/>
          <w:noProof/>
          <w:color w:val="000000"/>
          <w:kern w:val="0"/>
          <w:sz w:val="24"/>
          <w:szCs w:val="24"/>
          <w:rtl/>
          <w14:ligatures w14:val="none"/>
        </w:rPr>
        <w:t>)</w:t>
      </w:r>
      <w:r w:rsidRPr="005D5921">
        <w:rPr>
          <w:rFonts w:ascii="Times New Roman" w:eastAsia="Times New Roman" w:hAnsi="Times New Roman" w:cs="David"/>
          <w:b/>
          <w:bCs/>
          <w:noProof/>
          <w:color w:val="000000"/>
          <w:kern w:val="0"/>
          <w:sz w:val="24"/>
          <w:szCs w:val="24"/>
          <w14:ligatures w14:val="none"/>
        </w:rPr>
        <w:t>."</w:t>
      </w:r>
      <w:r w:rsidR="005D5921">
        <w:rPr>
          <w:rFonts w:ascii="David" w:hAnsi="David" w:cs="David" w:hint="cs"/>
          <w:b/>
          <w:bCs/>
          <w:sz w:val="24"/>
          <w:szCs w:val="24"/>
          <w:rtl/>
        </w:rPr>
        <w:t xml:space="preserve"> </w:t>
      </w:r>
      <w:r w:rsidR="00797B0B" w:rsidRPr="005D5921">
        <w:rPr>
          <w:rFonts w:ascii="David" w:hAnsi="David" w:cs="David"/>
          <w:b/>
          <w:bCs/>
          <w:sz w:val="24"/>
          <w:szCs w:val="24"/>
          <w:rtl/>
        </w:rPr>
        <w:t>(רא</w:t>
      </w:r>
      <w:r w:rsidRPr="005D5921">
        <w:rPr>
          <w:rFonts w:ascii="David" w:hAnsi="David" w:cs="David" w:hint="cs"/>
          <w:b/>
          <w:bCs/>
          <w:sz w:val="24"/>
          <w:szCs w:val="24"/>
          <w:rtl/>
        </w:rPr>
        <w:t>ו</w:t>
      </w:r>
      <w:r w:rsidR="00797B0B" w:rsidRPr="005D5921">
        <w:rPr>
          <w:rFonts w:ascii="David" w:hAnsi="David" w:cs="David"/>
          <w:b/>
          <w:bCs/>
          <w:sz w:val="24"/>
          <w:szCs w:val="24"/>
          <w:rtl/>
        </w:rPr>
        <w:t xml:space="preserve">: רע"א 7650/20 </w:t>
      </w:r>
      <w:r w:rsidR="00797B0B" w:rsidRPr="005D5921">
        <w:rPr>
          <w:rFonts w:ascii="David" w:hAnsi="David" w:cs="David"/>
          <w:b/>
          <w:bCs/>
          <w:sz w:val="24"/>
          <w:szCs w:val="24"/>
        </w:rPr>
        <w:t>Magic Softwrprises Enterprised Ltd</w:t>
      </w:r>
      <w:r w:rsidR="00797B0B" w:rsidRPr="005D5921">
        <w:rPr>
          <w:rFonts w:ascii="David" w:hAnsi="David" w:cs="David"/>
          <w:b/>
          <w:bCs/>
          <w:sz w:val="24"/>
          <w:szCs w:val="24"/>
          <w:rtl/>
        </w:rPr>
        <w:t xml:space="preserve"> נ' פאיירפלאי בע"מ (פורסם 28.12.20).</w:t>
      </w:r>
    </w:p>
    <w:p w:rsidR="0027755D" w:rsidRPr="0027755D" w:rsidRDefault="000D324B" w:rsidP="00826BC0">
      <w:pPr>
        <w:pStyle w:val="ad"/>
        <w:numPr>
          <w:ilvl w:val="0"/>
          <w:numId w:val="1"/>
        </w:numPr>
        <w:tabs>
          <w:tab w:val="left" w:pos="425"/>
        </w:tabs>
        <w:spacing w:line="360" w:lineRule="auto"/>
        <w:ind w:hanging="437"/>
        <w:jc w:val="both"/>
        <w:rPr>
          <w:rFonts w:ascii="David" w:hAnsi="David" w:cs="David"/>
          <w:sz w:val="24"/>
          <w:szCs w:val="24"/>
        </w:rPr>
      </w:pPr>
      <w:r w:rsidRPr="0027755D">
        <w:rPr>
          <w:rFonts w:ascii="David" w:hAnsi="David" w:cs="David"/>
          <w:sz w:val="24"/>
          <w:szCs w:val="24"/>
          <w:rtl/>
        </w:rPr>
        <w:t>בשקלול שני ההליכים יחדיו,</w:t>
      </w:r>
      <w:r w:rsidR="007437D7" w:rsidRPr="0027755D">
        <w:rPr>
          <w:rFonts w:ascii="David" w:hAnsi="David" w:cs="David" w:hint="cs"/>
          <w:sz w:val="24"/>
          <w:szCs w:val="24"/>
          <w:rtl/>
        </w:rPr>
        <w:t xml:space="preserve"> תוך מתן משקל להתנהלותו ו</w:t>
      </w:r>
      <w:r w:rsidRPr="0027755D">
        <w:rPr>
          <w:rFonts w:ascii="David" w:hAnsi="David" w:cs="David"/>
          <w:sz w:val="24"/>
          <w:szCs w:val="24"/>
          <w:rtl/>
        </w:rPr>
        <w:t>התנהגות</w:t>
      </w:r>
      <w:r w:rsidR="007437D7" w:rsidRPr="0027755D">
        <w:rPr>
          <w:rFonts w:ascii="David" w:hAnsi="David" w:cs="David" w:hint="cs"/>
          <w:sz w:val="24"/>
          <w:szCs w:val="24"/>
          <w:rtl/>
        </w:rPr>
        <w:t>ו</w:t>
      </w:r>
      <w:r w:rsidRPr="0027755D">
        <w:rPr>
          <w:rFonts w:ascii="David" w:hAnsi="David" w:cs="David"/>
          <w:sz w:val="24"/>
          <w:szCs w:val="24"/>
          <w:rtl/>
        </w:rPr>
        <w:t xml:space="preserve"> </w:t>
      </w:r>
      <w:r w:rsidR="007437D7" w:rsidRPr="0027755D">
        <w:rPr>
          <w:rFonts w:ascii="David" w:hAnsi="David" w:cs="David" w:hint="cs"/>
          <w:sz w:val="24"/>
          <w:szCs w:val="24"/>
          <w:rtl/>
        </w:rPr>
        <w:t>של הנתבע</w:t>
      </w:r>
      <w:r w:rsidRPr="0027755D">
        <w:rPr>
          <w:rFonts w:ascii="David" w:hAnsi="David" w:cs="David"/>
          <w:sz w:val="24"/>
          <w:szCs w:val="24"/>
          <w:rtl/>
        </w:rPr>
        <w:t xml:space="preserve"> במהלך ההליך, </w:t>
      </w:r>
      <w:r w:rsidR="0027755D" w:rsidRPr="0027755D">
        <w:rPr>
          <w:rFonts w:ascii="David" w:hAnsi="David" w:cs="David" w:hint="cs"/>
          <w:sz w:val="24"/>
          <w:szCs w:val="24"/>
          <w:rtl/>
        </w:rPr>
        <w:t xml:space="preserve">לרבות </w:t>
      </w:r>
      <w:r w:rsidR="007D0D07" w:rsidRPr="0027755D">
        <w:rPr>
          <w:rFonts w:ascii="David" w:hAnsi="David" w:cs="David" w:hint="cs"/>
          <w:sz w:val="24"/>
          <w:szCs w:val="24"/>
          <w:rtl/>
        </w:rPr>
        <w:t>השפה הבוטה בה עשה שימוש בכתבי הטענות ובדיונים</w:t>
      </w:r>
      <w:r w:rsidR="0027755D" w:rsidRPr="0027755D">
        <w:rPr>
          <w:rFonts w:ascii="David" w:hAnsi="David" w:cs="David" w:hint="cs"/>
          <w:sz w:val="24"/>
          <w:szCs w:val="24"/>
          <w:rtl/>
        </w:rPr>
        <w:t xml:space="preserve">, מספר הבקשות שהגיש, </w:t>
      </w:r>
      <w:r w:rsidR="007D0D07" w:rsidRPr="0027755D">
        <w:rPr>
          <w:rFonts w:ascii="David" w:hAnsi="David" w:cs="David" w:hint="cs"/>
          <w:sz w:val="24"/>
          <w:szCs w:val="24"/>
          <w:rtl/>
        </w:rPr>
        <w:t xml:space="preserve">מספר ב"כ שהחליף במהלך ההליך, </w:t>
      </w:r>
      <w:r w:rsidR="007437D7" w:rsidRPr="0027755D">
        <w:rPr>
          <w:rFonts w:ascii="David" w:hAnsi="David" w:cs="David" w:hint="cs"/>
          <w:sz w:val="24"/>
          <w:szCs w:val="24"/>
          <w:rtl/>
        </w:rPr>
        <w:t xml:space="preserve">לרבות התעקשותו שלא לשאת במזונות ילדיו, </w:t>
      </w:r>
      <w:r w:rsidRPr="0027755D">
        <w:rPr>
          <w:rFonts w:ascii="David" w:hAnsi="David" w:cs="David"/>
          <w:sz w:val="24"/>
          <w:szCs w:val="24"/>
          <w:rtl/>
        </w:rPr>
        <w:t xml:space="preserve">הריני מורה כי הנתבע ישלם לידי התובעת, הוצאות משפט בסך של </w:t>
      </w:r>
      <w:r w:rsidR="005D5921">
        <w:rPr>
          <w:rFonts w:ascii="David" w:hAnsi="David" w:cs="David" w:hint="cs"/>
          <w:sz w:val="24"/>
          <w:szCs w:val="24"/>
          <w:rtl/>
        </w:rPr>
        <w:t>2</w:t>
      </w:r>
      <w:r w:rsidR="006172AD">
        <w:rPr>
          <w:rFonts w:ascii="David" w:hAnsi="David" w:cs="David" w:hint="cs"/>
          <w:sz w:val="24"/>
          <w:szCs w:val="24"/>
          <w:rtl/>
        </w:rPr>
        <w:t>0</w:t>
      </w:r>
      <w:r w:rsidRPr="0027755D">
        <w:rPr>
          <w:rFonts w:ascii="David" w:hAnsi="David" w:cs="David"/>
          <w:sz w:val="24"/>
          <w:szCs w:val="24"/>
          <w:rtl/>
        </w:rPr>
        <w:t>,000 ₪.</w:t>
      </w:r>
      <w:r w:rsidR="007437D7" w:rsidRPr="0027755D">
        <w:rPr>
          <w:rFonts w:ascii="David" w:hAnsi="David" w:cs="David" w:hint="cs"/>
          <w:sz w:val="24"/>
          <w:szCs w:val="24"/>
          <w:rtl/>
        </w:rPr>
        <w:t xml:space="preserve"> </w:t>
      </w:r>
    </w:p>
    <w:p w:rsidR="000D324B" w:rsidRDefault="000D324B" w:rsidP="000D324B">
      <w:pPr>
        <w:pStyle w:val="ad"/>
        <w:numPr>
          <w:ilvl w:val="0"/>
          <w:numId w:val="1"/>
        </w:numPr>
        <w:tabs>
          <w:tab w:val="left" w:pos="425"/>
        </w:tabs>
        <w:spacing w:line="360" w:lineRule="auto"/>
        <w:ind w:left="0" w:firstLine="283"/>
        <w:jc w:val="both"/>
        <w:rPr>
          <w:rFonts w:ascii="David" w:hAnsi="David" w:cs="David"/>
          <w:sz w:val="24"/>
          <w:szCs w:val="24"/>
        </w:rPr>
      </w:pPr>
      <w:r>
        <w:rPr>
          <w:rFonts w:ascii="David" w:hAnsi="David" w:cs="David"/>
          <w:b/>
          <w:bCs/>
          <w:sz w:val="24"/>
          <w:szCs w:val="24"/>
          <w:u w:val="single"/>
          <w:rtl/>
        </w:rPr>
        <w:t>המזכירות</w:t>
      </w:r>
      <w:r>
        <w:rPr>
          <w:rFonts w:ascii="David" w:hAnsi="David" w:cs="David"/>
          <w:b/>
          <w:bCs/>
          <w:sz w:val="24"/>
          <w:szCs w:val="24"/>
          <w:rtl/>
        </w:rPr>
        <w:t xml:space="preserve"> </w:t>
      </w:r>
      <w:r>
        <w:rPr>
          <w:rFonts w:ascii="David" w:hAnsi="David" w:cs="David"/>
          <w:sz w:val="24"/>
          <w:szCs w:val="24"/>
          <w:rtl/>
        </w:rPr>
        <w:t>תסגור את שני התיקים שבכותרת.</w:t>
      </w:r>
    </w:p>
    <w:p w:rsidR="009A64CE" w:rsidRPr="009B7D2C" w:rsidRDefault="009B7D2C" w:rsidP="000D324B">
      <w:pPr>
        <w:pStyle w:val="ad"/>
        <w:numPr>
          <w:ilvl w:val="0"/>
          <w:numId w:val="1"/>
        </w:numPr>
        <w:tabs>
          <w:tab w:val="left" w:pos="425"/>
        </w:tabs>
        <w:spacing w:line="360" w:lineRule="auto"/>
        <w:ind w:left="0" w:firstLine="283"/>
        <w:jc w:val="both"/>
        <w:rPr>
          <w:rFonts w:ascii="David" w:hAnsi="David" w:cs="David"/>
          <w:sz w:val="24"/>
          <w:szCs w:val="24"/>
        </w:rPr>
      </w:pPr>
      <w:r w:rsidRPr="009B7D2C">
        <w:rPr>
          <w:rFonts w:ascii="David" w:hAnsi="David" w:cs="David" w:hint="cs"/>
          <w:b/>
          <w:bCs/>
          <w:sz w:val="24"/>
          <w:szCs w:val="24"/>
          <w:u w:val="single"/>
          <w:rtl/>
        </w:rPr>
        <w:t>ניתן לפרסום בהשמטת פרטים מזהים.</w:t>
      </w:r>
    </w:p>
    <w:p w:rsidR="00694556" w:rsidRPr="000D324B" w:rsidRDefault="00694556" w:rsidP="000D324B">
      <w:pPr>
        <w:tabs>
          <w:tab w:val="left" w:pos="425"/>
        </w:tabs>
        <w:spacing w:line="360" w:lineRule="auto"/>
        <w:ind w:firstLine="283"/>
        <w:jc w:val="both"/>
        <w:rPr>
          <w:rFonts w:ascii="Arial" w:hAnsi="Arial"/>
          <w:noProof w:val="0"/>
          <w:rtl/>
        </w:rPr>
      </w:pPr>
    </w:p>
    <w:p w:rsidR="00694556" w:rsidRDefault="00005C8B" w:rsidP="000D324B">
      <w:pPr>
        <w:tabs>
          <w:tab w:val="left" w:pos="425"/>
        </w:tabs>
        <w:spacing w:line="360" w:lineRule="auto"/>
        <w:ind w:firstLine="283"/>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י"ב תשרי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14 אוקטובר 2024</w:t>
          </w:r>
        </w:sdtContent>
      </w:sdt>
      <w:r>
        <w:rPr>
          <w:rFonts w:ascii="Arial" w:hAnsi="Arial"/>
          <w:noProof w:val="0"/>
          <w:rtl/>
        </w:rPr>
        <w:t>, בהעדר הצדדים.</w:t>
      </w:r>
    </w:p>
    <w:p w:rsidR="005B0F49" w:rsidRDefault="005B0F49" w:rsidP="000D324B">
      <w:pPr>
        <w:tabs>
          <w:tab w:val="left" w:pos="425"/>
        </w:tabs>
        <w:spacing w:line="360" w:lineRule="auto"/>
        <w:ind w:firstLine="283"/>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4F0340" w:rsidP="00826BC0">
      <w:pPr>
        <w:tabs>
          <w:tab w:val="left" w:pos="425"/>
        </w:tabs>
        <w:spacing w:line="360" w:lineRule="auto"/>
        <w:ind w:firstLine="283"/>
        <w:jc w:val="center"/>
      </w:pPr>
      <w:sdt>
        <w:sdtPr>
          <w:rPr>
            <w:rtl/>
          </w:rPr>
          <w:alias w:val="MergeField"/>
          <w:tag w:val="1237"/>
          <w:id w:val="1763490592"/>
        </w:sdtPr>
        <w:sdtEndPr/>
        <w:sdtContent>
          <w:r w:rsidR="00CB1897">
            <w:drawing>
              <wp:inline distT="0" distB="0" distL="0" distR="0" wp14:editId="50D07946">
                <wp:extent cx="1123950" cy="942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6" cstate="print">
                          <a:extLst/>
                        </a:blip>
                        <a:stretch>
                          <a:fillRect/>
                        </a:stretch>
                      </pic:blipFill>
                      <pic:spPr>
                        <a:xfrm>
                          <a:off x="0" y="0"/>
                          <a:ext cx="1123950" cy="942975"/>
                        </a:xfrm>
                        <a:prstGeom prst="rect">
                          <a:avLst/>
                        </a:prstGeom>
                      </pic:spPr>
                    </pic:pic>
                  </a:graphicData>
                </a:graphic>
              </wp:inline>
            </w:drawing>
          </w:r>
        </w:sdtContent>
      </w:sdt>
    </w:p>
    <w:p w:rsidR="00694556" w:rsidRDefault="00694556" w:rsidP="00826BC0">
      <w:pPr>
        <w:tabs>
          <w:tab w:val="left" w:pos="425"/>
        </w:tabs>
        <w:spacing w:line="360" w:lineRule="auto"/>
        <w:ind w:firstLine="283"/>
        <w:jc w:val="center"/>
        <w:rPr>
          <w:rFonts w:ascii="Arial" w:hAnsi="Arial"/>
          <w:noProof w:val="0"/>
          <w:rtl/>
        </w:rPr>
      </w:pPr>
    </w:p>
    <w:p w:rsidR="00694556" w:rsidRDefault="00694556" w:rsidP="000D324B">
      <w:pPr>
        <w:tabs>
          <w:tab w:val="left" w:pos="425"/>
        </w:tabs>
        <w:spacing w:line="360" w:lineRule="auto"/>
        <w:ind w:firstLine="283"/>
        <w:jc w:val="both"/>
        <w:rPr>
          <w:rFonts w:ascii="Arial" w:hAnsi="Arial"/>
          <w:noProof w:val="0"/>
          <w:rtl/>
        </w:rPr>
      </w:pPr>
    </w:p>
    <w:p w:rsidR="00694556" w:rsidRDefault="00694556" w:rsidP="000D324B">
      <w:pPr>
        <w:tabs>
          <w:tab w:val="left" w:pos="425"/>
        </w:tabs>
        <w:spacing w:line="360" w:lineRule="auto"/>
        <w:ind w:firstLine="283"/>
        <w:jc w:val="both"/>
        <w:rPr>
          <w:rFonts w:ascii="Arial" w:hAnsi="Arial"/>
          <w:noProof w:val="0"/>
          <w:rtl/>
        </w:rPr>
      </w:pPr>
    </w:p>
    <w:sectPr w:rsidR="00694556" w:rsidSect="00903896">
      <w:headerReference w:type="even" r:id="rId17"/>
      <w:headerReference w:type="default" r:id="rId18"/>
      <w:footerReference w:type="even" r:id="rId19"/>
      <w:footerReference w:type="default" r:id="rId20"/>
      <w:headerReference w:type="first" r:id="rId21"/>
      <w:footerReference w:type="first" r:id="rId22"/>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0340" w:rsidRDefault="004F0340">
      <w:r>
        <w:separator/>
      </w:r>
    </w:p>
  </w:endnote>
  <w:endnote w:type="continuationSeparator" w:id="0">
    <w:p w:rsidR="004F0340" w:rsidRDefault="004F0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5AD" w:rsidRDefault="004565A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34590">
      <w:rPr>
        <w:rStyle w:val="ab"/>
        <w:rFonts w:cs="Times New Roman"/>
        <w:rtl/>
      </w:rPr>
      <w:t>29</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34590">
      <w:rPr>
        <w:rStyle w:val="ab"/>
        <w:rtl/>
      </w:rPr>
      <w:t>29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5AD" w:rsidRDefault="004565A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0340" w:rsidRDefault="004F0340">
      <w:r>
        <w:separator/>
      </w:r>
    </w:p>
  </w:footnote>
  <w:footnote w:type="continuationSeparator" w:id="0">
    <w:p w:rsidR="004F0340" w:rsidRDefault="004F0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5AD" w:rsidRDefault="004565A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5"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4F0340">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תה"ס</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26656-06-22</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AD2FC2">
                <w:rPr>
                  <w:b/>
                  <w:bCs/>
                  <w:noProof w:val="0"/>
                  <w:sz w:val="26"/>
                  <w:szCs w:val="26"/>
                  <w:rtl/>
                </w:rPr>
                <w:t>ש</w:t>
              </w:r>
              <w:r w:rsidR="00AD2FC2">
                <w:rPr>
                  <w:rFonts w:hint="cs"/>
                  <w:b/>
                  <w:bCs/>
                  <w:noProof w:val="0"/>
                  <w:sz w:val="26"/>
                  <w:szCs w:val="26"/>
                  <w:rtl/>
                </w:rPr>
                <w:t>'</w:t>
              </w:r>
              <w:r w:rsidR="00AD2FC2">
                <w:rPr>
                  <w:b/>
                  <w:bCs/>
                  <w:noProof w:val="0"/>
                  <w:sz w:val="26"/>
                  <w:szCs w:val="26"/>
                  <w:rtl/>
                </w:rPr>
                <w:t xml:space="preserve"> נ' ש</w:t>
              </w:r>
              <w:r w:rsidR="00AD2FC2">
                <w:rPr>
                  <w:rFonts w:hint="cs"/>
                  <w:b/>
                  <w:bCs/>
                  <w:noProof w:val="0"/>
                  <w:sz w:val="26"/>
                  <w:szCs w:val="26"/>
                  <w:rtl/>
                </w:rPr>
                <w:t>'</w:t>
              </w:r>
              <w:r w:rsidR="000D324B">
                <w:rPr>
                  <w:b/>
                  <w:bCs/>
                  <w:noProof w:val="0"/>
                  <w:sz w:val="26"/>
                  <w:szCs w:val="26"/>
                  <w:rtl/>
                </w:rPr>
                <w:br/>
              </w:r>
              <w:r w:rsidR="000D324B">
                <w:rPr>
                  <w:rFonts w:hint="cs"/>
                  <w:b/>
                  <w:bCs/>
                  <w:noProof w:val="0"/>
                  <w:sz w:val="26"/>
                  <w:szCs w:val="26"/>
                  <w:rtl/>
                </w:rPr>
                <w:t>תלה"מ 25985-06-22</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5AD" w:rsidRDefault="004565A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74837"/>
    <w:multiLevelType w:val="hybridMultilevel"/>
    <w:tmpl w:val="CFFECC40"/>
    <w:lvl w:ilvl="0" w:tplc="61F2E090">
      <w:start w:val="1"/>
      <w:numFmt w:val="hebrew1"/>
      <w:lvlText w:val="%1."/>
      <w:lvlJc w:val="left"/>
      <w:pPr>
        <w:ind w:left="1080" w:hanging="360"/>
      </w:pPr>
      <w:rPr>
        <w:b w:val="0"/>
        <w:bCs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CC22EBA"/>
    <w:multiLevelType w:val="hybridMultilevel"/>
    <w:tmpl w:val="BEDEEFB4"/>
    <w:lvl w:ilvl="0" w:tplc="4CA6077E">
      <w:start w:val="1"/>
      <w:numFmt w:val="hebrew1"/>
      <w:lvlText w:val="%1."/>
      <w:lvlJc w:val="left"/>
      <w:pPr>
        <w:ind w:left="1080" w:hanging="360"/>
      </w:pPr>
      <w:rPr>
        <w:b w:val="0"/>
        <w:bCs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11797C64"/>
    <w:multiLevelType w:val="hybridMultilevel"/>
    <w:tmpl w:val="96608DAA"/>
    <w:lvl w:ilvl="0" w:tplc="545E116A">
      <w:start w:val="1"/>
      <w:numFmt w:val="decimal"/>
      <w:lvlText w:val="%1."/>
      <w:lvlJc w:val="left"/>
      <w:pPr>
        <w:ind w:left="720"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60A36EE"/>
    <w:multiLevelType w:val="hybridMultilevel"/>
    <w:tmpl w:val="8F66E9A2"/>
    <w:lvl w:ilvl="0" w:tplc="E90ABE8C">
      <w:start w:val="1"/>
      <w:numFmt w:val="hebrew1"/>
      <w:lvlText w:val="%1."/>
      <w:lvlJc w:val="left"/>
      <w:pPr>
        <w:ind w:left="643" w:hanging="360"/>
      </w:pPr>
      <w:rPr>
        <w:rFonts w:hint="default"/>
        <w:b w:val="0"/>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 w15:restartNumberingAfterBreak="0">
    <w:nsid w:val="1ECD5007"/>
    <w:multiLevelType w:val="hybridMultilevel"/>
    <w:tmpl w:val="CAE8A01C"/>
    <w:lvl w:ilvl="0" w:tplc="61A6AEE0">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2FB1F7C"/>
    <w:multiLevelType w:val="hybridMultilevel"/>
    <w:tmpl w:val="94C4AD1C"/>
    <w:lvl w:ilvl="0" w:tplc="6CD475E6">
      <w:start w:val="1"/>
      <w:numFmt w:val="hebrew1"/>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 w15:restartNumberingAfterBreak="0">
    <w:nsid w:val="2C7F3B80"/>
    <w:multiLevelType w:val="hybridMultilevel"/>
    <w:tmpl w:val="50CE599A"/>
    <w:lvl w:ilvl="0" w:tplc="ED5C8534">
      <w:start w:val="1"/>
      <w:numFmt w:val="hebrew1"/>
      <w:lvlText w:val="%1."/>
      <w:lvlJc w:val="left"/>
      <w:pPr>
        <w:ind w:left="720" w:hanging="360"/>
      </w:pPr>
      <w:rPr>
        <w:b w:val="0"/>
        <w:bCs w:val="0"/>
      </w:rPr>
    </w:lvl>
    <w:lvl w:ilvl="1" w:tplc="18CC9568">
      <w:start w:val="1"/>
      <w:numFmt w:val="lowerLetter"/>
      <w:lvlText w:val="%2."/>
      <w:lvlJc w:val="left"/>
      <w:pPr>
        <w:ind w:left="1440" w:hanging="360"/>
      </w:pPr>
    </w:lvl>
    <w:lvl w:ilvl="2" w:tplc="35241E50">
      <w:start w:val="1"/>
      <w:numFmt w:val="lowerRoman"/>
      <w:lvlText w:val="%3."/>
      <w:lvlJc w:val="right"/>
      <w:pPr>
        <w:ind w:left="2160" w:hanging="180"/>
      </w:pPr>
    </w:lvl>
    <w:lvl w:ilvl="3" w:tplc="41048C76">
      <w:start w:val="1"/>
      <w:numFmt w:val="decimal"/>
      <w:lvlText w:val="%4."/>
      <w:lvlJc w:val="left"/>
      <w:pPr>
        <w:ind w:left="2880" w:hanging="360"/>
      </w:pPr>
    </w:lvl>
    <w:lvl w:ilvl="4" w:tplc="31948662">
      <w:start w:val="1"/>
      <w:numFmt w:val="lowerLetter"/>
      <w:lvlText w:val="%5."/>
      <w:lvlJc w:val="left"/>
      <w:pPr>
        <w:ind w:left="3600" w:hanging="360"/>
      </w:pPr>
    </w:lvl>
    <w:lvl w:ilvl="5" w:tplc="D26C0BF2">
      <w:start w:val="1"/>
      <w:numFmt w:val="lowerRoman"/>
      <w:lvlText w:val="%6."/>
      <w:lvlJc w:val="right"/>
      <w:pPr>
        <w:ind w:left="4320" w:hanging="180"/>
      </w:pPr>
    </w:lvl>
    <w:lvl w:ilvl="6" w:tplc="A8205E76">
      <w:start w:val="1"/>
      <w:numFmt w:val="decimal"/>
      <w:lvlText w:val="%7."/>
      <w:lvlJc w:val="left"/>
      <w:pPr>
        <w:ind w:left="5040" w:hanging="360"/>
      </w:pPr>
    </w:lvl>
    <w:lvl w:ilvl="7" w:tplc="5DD06C2E">
      <w:start w:val="1"/>
      <w:numFmt w:val="lowerLetter"/>
      <w:lvlText w:val="%8."/>
      <w:lvlJc w:val="left"/>
      <w:pPr>
        <w:ind w:left="5760" w:hanging="360"/>
      </w:pPr>
    </w:lvl>
    <w:lvl w:ilvl="8" w:tplc="81BEFB62">
      <w:start w:val="1"/>
      <w:numFmt w:val="lowerRoman"/>
      <w:lvlText w:val="%9."/>
      <w:lvlJc w:val="right"/>
      <w:pPr>
        <w:ind w:left="6480" w:hanging="180"/>
      </w:pPr>
    </w:lvl>
  </w:abstractNum>
  <w:abstractNum w:abstractNumId="7" w15:restartNumberingAfterBreak="0">
    <w:nsid w:val="3A2F541D"/>
    <w:multiLevelType w:val="hybridMultilevel"/>
    <w:tmpl w:val="4F3886AA"/>
    <w:lvl w:ilvl="0" w:tplc="0ECAABCC">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3D214A70"/>
    <w:multiLevelType w:val="hybridMultilevel"/>
    <w:tmpl w:val="4F3886AA"/>
    <w:lvl w:ilvl="0" w:tplc="0ECAABCC">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508E113C"/>
    <w:multiLevelType w:val="hybridMultilevel"/>
    <w:tmpl w:val="E638753C"/>
    <w:lvl w:ilvl="0" w:tplc="DE90EC86">
      <w:start w:val="1"/>
      <w:numFmt w:val="hebrew1"/>
      <w:lvlText w:val="%1."/>
      <w:lvlJc w:val="left"/>
      <w:pPr>
        <w:ind w:left="1080" w:hanging="360"/>
      </w:pPr>
      <w:rPr>
        <w:b w:val="0"/>
        <w:bCs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5A4B28CB"/>
    <w:multiLevelType w:val="hybridMultilevel"/>
    <w:tmpl w:val="4F3886AA"/>
    <w:lvl w:ilvl="0" w:tplc="0ECAABCC">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5A9F3C1C"/>
    <w:multiLevelType w:val="hybridMultilevel"/>
    <w:tmpl w:val="A02639FE"/>
    <w:lvl w:ilvl="0" w:tplc="4CA6077E">
      <w:start w:val="1"/>
      <w:numFmt w:val="hebrew1"/>
      <w:lvlText w:val="%1."/>
      <w:lvlJc w:val="left"/>
      <w:pPr>
        <w:ind w:left="1080" w:hanging="360"/>
      </w:pPr>
      <w:rPr>
        <w:b w:val="0"/>
        <w:bCs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5FD941F3"/>
    <w:multiLevelType w:val="hybridMultilevel"/>
    <w:tmpl w:val="50CE599A"/>
    <w:lvl w:ilvl="0" w:tplc="ED5C8534">
      <w:start w:val="1"/>
      <w:numFmt w:val="hebrew1"/>
      <w:lvlText w:val="%1."/>
      <w:lvlJc w:val="left"/>
      <w:pPr>
        <w:ind w:left="720" w:hanging="360"/>
      </w:pPr>
      <w:rPr>
        <w:b w:val="0"/>
        <w:bCs w:val="0"/>
      </w:rPr>
    </w:lvl>
    <w:lvl w:ilvl="1" w:tplc="18CC9568">
      <w:start w:val="1"/>
      <w:numFmt w:val="lowerLetter"/>
      <w:lvlText w:val="%2."/>
      <w:lvlJc w:val="left"/>
      <w:pPr>
        <w:ind w:left="1440" w:hanging="360"/>
      </w:pPr>
    </w:lvl>
    <w:lvl w:ilvl="2" w:tplc="35241E50">
      <w:start w:val="1"/>
      <w:numFmt w:val="lowerRoman"/>
      <w:lvlText w:val="%3."/>
      <w:lvlJc w:val="right"/>
      <w:pPr>
        <w:ind w:left="2160" w:hanging="180"/>
      </w:pPr>
    </w:lvl>
    <w:lvl w:ilvl="3" w:tplc="41048C76">
      <w:start w:val="1"/>
      <w:numFmt w:val="decimal"/>
      <w:lvlText w:val="%4."/>
      <w:lvlJc w:val="left"/>
      <w:pPr>
        <w:ind w:left="2880" w:hanging="360"/>
      </w:pPr>
    </w:lvl>
    <w:lvl w:ilvl="4" w:tplc="31948662">
      <w:start w:val="1"/>
      <w:numFmt w:val="lowerLetter"/>
      <w:lvlText w:val="%5."/>
      <w:lvlJc w:val="left"/>
      <w:pPr>
        <w:ind w:left="3600" w:hanging="360"/>
      </w:pPr>
    </w:lvl>
    <w:lvl w:ilvl="5" w:tplc="D26C0BF2">
      <w:start w:val="1"/>
      <w:numFmt w:val="lowerRoman"/>
      <w:lvlText w:val="%6."/>
      <w:lvlJc w:val="right"/>
      <w:pPr>
        <w:ind w:left="4320" w:hanging="180"/>
      </w:pPr>
    </w:lvl>
    <w:lvl w:ilvl="6" w:tplc="A8205E76">
      <w:start w:val="1"/>
      <w:numFmt w:val="decimal"/>
      <w:lvlText w:val="%7."/>
      <w:lvlJc w:val="left"/>
      <w:pPr>
        <w:ind w:left="5040" w:hanging="360"/>
      </w:pPr>
    </w:lvl>
    <w:lvl w:ilvl="7" w:tplc="5DD06C2E">
      <w:start w:val="1"/>
      <w:numFmt w:val="lowerLetter"/>
      <w:lvlText w:val="%8."/>
      <w:lvlJc w:val="left"/>
      <w:pPr>
        <w:ind w:left="5760" w:hanging="360"/>
      </w:pPr>
    </w:lvl>
    <w:lvl w:ilvl="8" w:tplc="81BEFB62">
      <w:start w:val="1"/>
      <w:numFmt w:val="lowerRoman"/>
      <w:lvlText w:val="%9."/>
      <w:lvlJc w:val="right"/>
      <w:pPr>
        <w:ind w:left="6480" w:hanging="180"/>
      </w:pPr>
    </w:lvl>
  </w:abstractNum>
  <w:abstractNum w:abstractNumId="13" w15:restartNumberingAfterBreak="0">
    <w:nsid w:val="68FE1CB1"/>
    <w:multiLevelType w:val="hybridMultilevel"/>
    <w:tmpl w:val="2766D1F8"/>
    <w:lvl w:ilvl="0" w:tplc="0ECAABCC">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6B8F0F5D"/>
    <w:multiLevelType w:val="hybridMultilevel"/>
    <w:tmpl w:val="3BCA2AC4"/>
    <w:lvl w:ilvl="0" w:tplc="0AB40882">
      <w:start w:val="1"/>
      <w:numFmt w:val="hebrew1"/>
      <w:lvlText w:val="%1."/>
      <w:lvlJc w:val="left"/>
      <w:pPr>
        <w:ind w:left="1080" w:hanging="360"/>
      </w:pPr>
      <w:rPr>
        <w:b w:val="0"/>
        <w:bCs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6D837B79"/>
    <w:multiLevelType w:val="hybridMultilevel"/>
    <w:tmpl w:val="6CCE94FC"/>
    <w:lvl w:ilvl="0" w:tplc="0DCE124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78D84CB0"/>
    <w:multiLevelType w:val="hybridMultilevel"/>
    <w:tmpl w:val="CAE8A01C"/>
    <w:lvl w:ilvl="0" w:tplc="61A6AEE0">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7FE36B3F"/>
    <w:multiLevelType w:val="hybridMultilevel"/>
    <w:tmpl w:val="6346EF7C"/>
    <w:lvl w:ilvl="0" w:tplc="22D22E42">
      <w:start w:val="1"/>
      <w:numFmt w:val="hebrew1"/>
      <w:lvlText w:val="%1."/>
      <w:lvlJc w:val="left"/>
      <w:pPr>
        <w:ind w:left="643" w:hanging="360"/>
      </w:pPr>
      <w:rPr>
        <w:lang w:val="en-US"/>
      </w:rPr>
    </w:lvl>
    <w:lvl w:ilvl="1" w:tplc="B64025CA">
      <w:start w:val="1"/>
      <w:numFmt w:val="lowerLetter"/>
      <w:lvlText w:val="%2."/>
      <w:lvlJc w:val="left"/>
      <w:pPr>
        <w:ind w:left="1647" w:hanging="360"/>
      </w:pPr>
    </w:lvl>
    <w:lvl w:ilvl="2" w:tplc="27961BE8">
      <w:start w:val="1"/>
      <w:numFmt w:val="lowerRoman"/>
      <w:lvlText w:val="%3."/>
      <w:lvlJc w:val="right"/>
      <w:pPr>
        <w:ind w:left="2367" w:hanging="180"/>
      </w:pPr>
    </w:lvl>
    <w:lvl w:ilvl="3" w:tplc="FA346288">
      <w:start w:val="1"/>
      <w:numFmt w:val="decimal"/>
      <w:lvlText w:val="%4."/>
      <w:lvlJc w:val="left"/>
      <w:pPr>
        <w:ind w:left="3087" w:hanging="360"/>
      </w:pPr>
    </w:lvl>
    <w:lvl w:ilvl="4" w:tplc="7F4E3B62">
      <w:start w:val="1"/>
      <w:numFmt w:val="lowerLetter"/>
      <w:lvlText w:val="%5."/>
      <w:lvlJc w:val="left"/>
      <w:pPr>
        <w:ind w:left="3807" w:hanging="360"/>
      </w:pPr>
    </w:lvl>
    <w:lvl w:ilvl="5" w:tplc="A38E0EE6">
      <w:start w:val="1"/>
      <w:numFmt w:val="lowerRoman"/>
      <w:lvlText w:val="%6."/>
      <w:lvlJc w:val="right"/>
      <w:pPr>
        <w:ind w:left="4527" w:hanging="180"/>
      </w:pPr>
    </w:lvl>
    <w:lvl w:ilvl="6" w:tplc="05D886A2">
      <w:start w:val="1"/>
      <w:numFmt w:val="decimal"/>
      <w:lvlText w:val="%7."/>
      <w:lvlJc w:val="left"/>
      <w:pPr>
        <w:ind w:left="5247" w:hanging="360"/>
      </w:pPr>
    </w:lvl>
    <w:lvl w:ilvl="7" w:tplc="63787992">
      <w:start w:val="1"/>
      <w:numFmt w:val="lowerLetter"/>
      <w:lvlText w:val="%8."/>
      <w:lvlJc w:val="left"/>
      <w:pPr>
        <w:ind w:left="5967" w:hanging="360"/>
      </w:pPr>
    </w:lvl>
    <w:lvl w:ilvl="8" w:tplc="6E94C4E0">
      <w:start w:val="1"/>
      <w:numFmt w:val="lowerRoman"/>
      <w:lvlText w:val="%9."/>
      <w:lvlJc w:val="right"/>
      <w:pPr>
        <w:ind w:left="6687"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1"/>
  </w:num>
  <w:num w:numId="12">
    <w:abstractNumId w:val="9"/>
  </w:num>
  <w:num w:numId="13">
    <w:abstractNumId w:val="8"/>
  </w:num>
  <w:num w:numId="14">
    <w:abstractNumId w:val="10"/>
  </w:num>
  <w:num w:numId="15">
    <w:abstractNumId w:val="7"/>
  </w:num>
  <w:num w:numId="16">
    <w:abstractNumId w:val="2"/>
  </w:num>
  <w:num w:numId="17">
    <w:abstractNumId w:val="3"/>
  </w:num>
  <w:num w:numId="18">
    <w:abstractNumId w:val="14"/>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35731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357311&amp;lt;/CaseID&amp;gt;_x000d__x000a_        &amp;lt;CaseMonth&amp;gt;6&amp;lt;/CaseMonth&amp;gt;_x000d__x000a_        &amp;lt;CaseYear&amp;gt;2022&amp;lt;/CaseYear&amp;gt;_x000d__x000a_        &amp;lt;CaseNumber&amp;gt;26656&amp;lt;/CaseNumber&amp;gt;_x000d__x000a_        &amp;lt;NumeratorGroupID&amp;gt;1&amp;lt;/NumeratorGroupID&amp;gt;_x000d__x000a_        &amp;lt;CaseName&amp;gt;שברין נ&amp;#39; שברין&amp;lt;/CaseName&amp;gt;_x000d__x000a_        &amp;lt;CourtID&amp;gt;35&amp;lt;/CourtID&amp;gt;_x000d__x000a_        &amp;lt;CaseTypeID&amp;gt;10040&amp;lt;/CaseTypeID&amp;gt;_x000d__x000a_        &amp;lt;CaseInterestID&amp;gt;10121&amp;lt;/CaseInterestID&amp;gt;_x000d__x000a_        &amp;lt;CaseJudgeName&amp;gt;שירלי ש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6656-06-22&amp;lt;/CaseDisplayIdentifier&amp;gt;_x000d__x000a_        &amp;lt;CaseTypeDesc&amp;gt;תה&amp;quot;ס&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2-06-13T16:23:00+03:00&amp;lt;/CaseOpenDate&amp;gt;_x000d__x000a_        &amp;lt;PleaTypeID&amp;gt;4&amp;lt;/PleaTypeID&amp;gt;_x000d__x000a_        &amp;lt;CourtLevelID&amp;gt;1&amp;lt;/CourtLevelID&amp;gt;_x000d__x000a_        &amp;lt;CourtLevelCaseTypeInterestID&amp;gt;133&amp;lt;/CourtLevelCaseTypeInterestID&amp;gt;_x000d__x000a_        &amp;lt;CaseJudgeFirstName&amp;gt;שירלי&amp;lt;/CaseJudgeFirstName&amp;gt;_x000d__x000a_        &amp;lt;CaseJudgeLastName&amp;gt;שי&amp;lt;/CaseJudgeLastName&amp;gt;_x000d__x000a_        &amp;lt;JudicalPersonID&amp;gt;022829972@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התקבלו דיסקים-אצל אסתר רחמים על השולחן&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357311&amp;lt;/CaseID&amp;gt;_x000d__x000a_        &amp;lt;CaseMonth&amp;gt;6&amp;lt;/CaseMonth&amp;gt;_x000d__x000a_        &amp;lt;CaseYear&amp;gt;2022&amp;lt;/CaseYear&amp;gt;_x000d__x000a_        &amp;lt;CaseNumber&amp;gt;26656&amp;lt;/CaseNumber&amp;gt;_x000d__x000a_        &amp;lt;NumeratorGroupID&amp;gt;1&amp;lt;/NumeratorGroupID&amp;gt;_x000d__x000a_        &amp;lt;CaseName&amp;gt;שברין נ&amp;#39; שברין&amp;lt;/CaseName&amp;gt;_x000d__x000a_        &amp;lt;CourtID&amp;gt;35&amp;lt;/CourtID&amp;gt;_x000d__x000a_        &amp;lt;CaseTypeID&amp;gt;10040&amp;lt;/CaseTypeID&amp;gt;_x000d__x000a_        &amp;lt;CaseInterestID&amp;gt;10121&amp;lt;/CaseInterestID&amp;gt;_x000d__x000a_        &amp;lt;CaseJudgeName&amp;gt;שירלי ש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6656-06-22&amp;lt;/CaseDisplayIdentifier&amp;gt;_x000d__x000a_        &amp;lt;CaseTypeDesc&amp;gt;תה&amp;quot;ס&amp;lt;/CaseTypeDesc&amp;gt;_x000d__x000a_        &amp;lt;CourtDesc&amp;gt;שלום פתח תקווה&amp;lt;/CourtDesc&amp;gt;_x000d__x000a_        &amp;lt;CaseStageDesc&amp;gt;תיק אלקטרוני&amp;lt;/CaseStageDesc&amp;gt;_x000d__x000a_        &amp;lt;CaseNextDeterminingTask&amp;gt;257&amp;lt;/CaseNextDeterminingTask&amp;gt;_x000d__x000a_        &amp;lt;CaseOpenDate&amp;gt;2022-06-13T16:23:00+03:00&amp;lt;/CaseOpenDate&amp;gt;_x000d__x000a_        &amp;lt;PleaTypeID&amp;gt;4&amp;lt;/PleaTypeID&amp;gt;_x000d__x000a_        &amp;lt;CourtLevelID&amp;gt;1&amp;lt;/CourtLevelID&amp;gt;_x000d__x000a_        &amp;lt;CourtLevelCaseTypeInterestID&amp;gt;133&amp;lt;/CourtLevelCaseTypeInterestID&amp;gt;_x000d__x000a_        &amp;lt;CaseJudgeFirstName&amp;gt;שירלי&amp;lt;/CaseJudgeFirstName&amp;gt;_x000d__x000a_        &amp;lt;CaseJudgeLastName&amp;gt;שי&amp;lt;/CaseJudgeLastName&amp;gt;_x000d__x000a_        &amp;lt;JudicalPersonID&amp;gt;022829972@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התקבלו דיסקים-אצל אסתר רחמים על השולחן&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428486&amp;lt;/DecisionID&amp;gt;_x000d__x000a_        &amp;lt;DecisionName&amp;gt;פסק דין  שניתנה ע&amp;quot;י  שירלי שי&amp;lt;/DecisionName&amp;gt;_x000d__x000a_        &amp;lt;DecisionStatusID&amp;gt;1&amp;lt;/DecisionStatusID&amp;gt;_x000d__x000a_        &amp;lt;DecisionStatusChangeDate&amp;gt;2024-10-13T18:10:19.307+03:00&amp;lt;/DecisionStatusChangeDate&amp;gt;_x000d__x000a_        &amp;lt;DecisionSignatureDate&amp;gt;2024-10-13T10:27:30.127+03:00&amp;lt;/DecisionSignatureDate&amp;gt;_x000d__x000a_        &amp;lt;DecisionSignatureUserID&amp;gt;022829972@GOV.IL&amp;lt;/DecisionSignatureUserID&amp;gt;_x000d__x000a_        &amp;lt;DecisionCreateDate&amp;gt;2024-10-10T12:06:22.6+03:00&amp;lt;/DecisionCreateDate&amp;gt;_x000d__x000a_        &amp;lt;DecisionChangeDate&amp;gt;2024-10-13T18:10:19.42+03:00&amp;lt;/DecisionChangeDate&amp;gt;_x000d__x000a_        &amp;lt;DecisionChangeUserID&amp;gt;022829972@GOV.IL&amp;lt;/DecisionChangeUserID&amp;gt;_x000d__x000a_        &amp;lt;DecisionDesc /&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762067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82997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829972@GOV.IL&amp;lt;/DecisionCreationUserID&amp;gt;_x000d__x000a_        &amp;lt;DecisionDisplayName&amp;gt;פסק דין  שניתנה ע&amp;quot;י  שירלי שי&amp;lt;/DecisionDisplayName&amp;gt;_x000d__x000a_        &amp;lt;IsScanned&amp;gt;false&amp;lt;/IsScanned&amp;gt;_x000d__x000a_        &amp;lt;DecisionSignatureUserName&amp;gt;שירלי ש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5&amp;lt;/DecisionNumberInCase&amp;gt;_x000d__x000a_        &amp;lt;DecisionNote xml:space=&amp;quot;preserve&amp;quot;&amp;gt;                                                                                                                                                                                                                                                                                                                                                                                                                                                                                                                                                                                                                                                                                                                                                                                                                                                                                                                                                                                                                                        &amp;lt;/DecisionNote&amp;gt;_x000d__x000a_        &amp;lt;IsViewInSiteChosenVerdict&amp;gt;false&amp;lt;/IsViewInSiteChosenVerdict&amp;gt;_x000d__x000a_      &amp;lt;/dt_Decision&amp;gt;_x000d__x000a_      &amp;lt;dt_DecisionCase diffgr:id=&amp;quot;dt_DecisionCase1&amp;quot; msdata:rowOrder=&amp;quot;0&amp;quot;&amp;gt;_x000d__x000a_        &amp;lt;DecisionID&amp;gt;155428486&amp;lt;/DecisionID&amp;gt;_x000d__x000a_        &amp;lt;CaseID&amp;gt;79355969&amp;lt;/CaseID&amp;gt;_x000d__x000a_        &amp;lt;IsOriginal&amp;gt;false&amp;lt;/IsOriginal&amp;gt;_x000d__x000a_        &amp;lt;IsDeleted&amp;gt;true&amp;lt;/IsDeleted&amp;gt;_x000d__x000a_        &amp;lt;CaseLinkTypeID&amp;gt;4&amp;lt;/CaseLinkTypeID&amp;gt;_x000d__x000a_        &amp;lt;CaseName&amp;gt;שברין נ&amp;#39; שברין&amp;lt;/CaseName&amp;gt;_x000d__x000a_        &amp;lt;CaseDisplayIdentifier&amp;gt;25985-06-22 תלה&amp;quot;מ&amp;lt;/CaseDisplayIdentifier&amp;gt;_x000d__x000a_      &amp;lt;/dt_DecisionCase&amp;gt;_x000d__x000a_      &amp;lt;dt_DecisionCase diffgr:id=&amp;quot;dt_DecisionCase2&amp;quot; msdata:rowOrder=&amp;quot;1&amp;quot;&amp;gt;_x000d__x000a_        &amp;lt;DecisionID&amp;gt;155428486&amp;lt;/DecisionID&amp;gt;_x000d__x000a_        &amp;lt;CaseID&amp;gt;79357311&amp;lt;/CaseID&amp;gt;_x000d__x000a_        &amp;lt;IsOriginal&amp;gt;true&amp;lt;/IsOriginal&amp;gt;_x000d__x000a_        &amp;lt;IsDeleted&amp;gt;false&amp;lt;/IsDeleted&amp;gt;_x000d__x000a_        &amp;lt;CaseName&amp;gt;שברין נ&amp;#39; שברין&amp;lt;/CaseName&amp;gt;_x000d__x000a_        &amp;lt;CaseDisplayIdentifier&amp;gt;26656-06-22 תה&amp;quot;ס&amp;lt;/CaseDisplayIdentifier&amp;gt;_x000d__x000a_      &amp;lt;/dt_DecisionCase&amp;gt;_x000d__x000a_    &amp;lt;/DecisionDS&amp;gt;_x000d__x000a_  &amp;lt;/diffgr:diffgram&amp;gt;_x000d__x000a_&amp;lt;/DecisionDS&amp;gt;"/>
    <w:docVar w:name="DecisionID" w:val="155428486"/>
    <w:docVar w:name="WordClientAssemblyName" w:val="NGCS.Decision.ClientWordBL"/>
    <w:docVar w:name="WordClientClassName" w:val="NGCS.Decision.ClientWordBL.DecisionClient"/>
  </w:docVars>
  <w:rsids>
    <w:rsidRoot w:val="00694556"/>
    <w:rsid w:val="00005C8B"/>
    <w:rsid w:val="000146C2"/>
    <w:rsid w:val="00016C35"/>
    <w:rsid w:val="000258FD"/>
    <w:rsid w:val="00033F84"/>
    <w:rsid w:val="000564AB"/>
    <w:rsid w:val="000A28D3"/>
    <w:rsid w:val="000D324B"/>
    <w:rsid w:val="000D4A02"/>
    <w:rsid w:val="001072A9"/>
    <w:rsid w:val="00121F97"/>
    <w:rsid w:val="00126F2B"/>
    <w:rsid w:val="001277D7"/>
    <w:rsid w:val="00132017"/>
    <w:rsid w:val="0014234E"/>
    <w:rsid w:val="00145A87"/>
    <w:rsid w:val="00185D33"/>
    <w:rsid w:val="001C4003"/>
    <w:rsid w:val="001D0D3F"/>
    <w:rsid w:val="001D44CB"/>
    <w:rsid w:val="001D4724"/>
    <w:rsid w:val="001E0604"/>
    <w:rsid w:val="001F4D50"/>
    <w:rsid w:val="001F5474"/>
    <w:rsid w:val="0020271F"/>
    <w:rsid w:val="00207215"/>
    <w:rsid w:val="00213315"/>
    <w:rsid w:val="00217A71"/>
    <w:rsid w:val="002352F7"/>
    <w:rsid w:val="002711F4"/>
    <w:rsid w:val="00271542"/>
    <w:rsid w:val="0027277D"/>
    <w:rsid w:val="0027755D"/>
    <w:rsid w:val="002846ED"/>
    <w:rsid w:val="002B142B"/>
    <w:rsid w:val="00380A65"/>
    <w:rsid w:val="00381D3A"/>
    <w:rsid w:val="003823DA"/>
    <w:rsid w:val="003C7884"/>
    <w:rsid w:val="004310A8"/>
    <w:rsid w:val="00434590"/>
    <w:rsid w:val="0043595F"/>
    <w:rsid w:val="00441DFA"/>
    <w:rsid w:val="00447211"/>
    <w:rsid w:val="0045621E"/>
    <w:rsid w:val="004565AD"/>
    <w:rsid w:val="00461291"/>
    <w:rsid w:val="0047645A"/>
    <w:rsid w:val="00477AEA"/>
    <w:rsid w:val="004A032C"/>
    <w:rsid w:val="004D49A3"/>
    <w:rsid w:val="004D5052"/>
    <w:rsid w:val="004D50AC"/>
    <w:rsid w:val="004E6E3C"/>
    <w:rsid w:val="004F0340"/>
    <w:rsid w:val="005124F1"/>
    <w:rsid w:val="00512DBA"/>
    <w:rsid w:val="00530BAD"/>
    <w:rsid w:val="00535DB5"/>
    <w:rsid w:val="00541598"/>
    <w:rsid w:val="00547DB7"/>
    <w:rsid w:val="0055026B"/>
    <w:rsid w:val="005551B2"/>
    <w:rsid w:val="00567324"/>
    <w:rsid w:val="00572221"/>
    <w:rsid w:val="005A4723"/>
    <w:rsid w:val="005B0F49"/>
    <w:rsid w:val="005C7EC6"/>
    <w:rsid w:val="005D4BDB"/>
    <w:rsid w:val="005D5921"/>
    <w:rsid w:val="005F6064"/>
    <w:rsid w:val="006172AD"/>
    <w:rsid w:val="00622BAA"/>
    <w:rsid w:val="00625C89"/>
    <w:rsid w:val="00630DA3"/>
    <w:rsid w:val="00633C4F"/>
    <w:rsid w:val="006623AD"/>
    <w:rsid w:val="00671BD5"/>
    <w:rsid w:val="006805C1"/>
    <w:rsid w:val="006816EC"/>
    <w:rsid w:val="00694556"/>
    <w:rsid w:val="00694CAA"/>
    <w:rsid w:val="006A18C7"/>
    <w:rsid w:val="006B6846"/>
    <w:rsid w:val="006E1A53"/>
    <w:rsid w:val="007056AA"/>
    <w:rsid w:val="00736C04"/>
    <w:rsid w:val="007437D7"/>
    <w:rsid w:val="00744084"/>
    <w:rsid w:val="00744F41"/>
    <w:rsid w:val="00764023"/>
    <w:rsid w:val="00770BFE"/>
    <w:rsid w:val="00797B0B"/>
    <w:rsid w:val="007A24FE"/>
    <w:rsid w:val="007A35AA"/>
    <w:rsid w:val="007A3647"/>
    <w:rsid w:val="007B5476"/>
    <w:rsid w:val="007C737B"/>
    <w:rsid w:val="007D0D07"/>
    <w:rsid w:val="007F1048"/>
    <w:rsid w:val="008149A7"/>
    <w:rsid w:val="00820005"/>
    <w:rsid w:val="00820B44"/>
    <w:rsid w:val="00826295"/>
    <w:rsid w:val="00826BC0"/>
    <w:rsid w:val="00846D27"/>
    <w:rsid w:val="008610A7"/>
    <w:rsid w:val="0086387F"/>
    <w:rsid w:val="00864795"/>
    <w:rsid w:val="008753A9"/>
    <w:rsid w:val="00884245"/>
    <w:rsid w:val="008921FA"/>
    <w:rsid w:val="008B4EDD"/>
    <w:rsid w:val="008D51C6"/>
    <w:rsid w:val="008E1332"/>
    <w:rsid w:val="008E6AB3"/>
    <w:rsid w:val="00903896"/>
    <w:rsid w:val="00907D8A"/>
    <w:rsid w:val="00927813"/>
    <w:rsid w:val="00927F61"/>
    <w:rsid w:val="00944D13"/>
    <w:rsid w:val="00955D93"/>
    <w:rsid w:val="00957C90"/>
    <w:rsid w:val="00961891"/>
    <w:rsid w:val="009962D2"/>
    <w:rsid w:val="009A64CE"/>
    <w:rsid w:val="009B70F6"/>
    <w:rsid w:val="009B7D2C"/>
    <w:rsid w:val="009C358E"/>
    <w:rsid w:val="009E0263"/>
    <w:rsid w:val="00A070F8"/>
    <w:rsid w:val="00A267CF"/>
    <w:rsid w:val="00A342BD"/>
    <w:rsid w:val="00A43458"/>
    <w:rsid w:val="00AA1B1F"/>
    <w:rsid w:val="00AC4E19"/>
    <w:rsid w:val="00AC60C4"/>
    <w:rsid w:val="00AC7548"/>
    <w:rsid w:val="00AD2439"/>
    <w:rsid w:val="00AD2FC2"/>
    <w:rsid w:val="00AF1ED6"/>
    <w:rsid w:val="00B2349D"/>
    <w:rsid w:val="00B32C61"/>
    <w:rsid w:val="00B34714"/>
    <w:rsid w:val="00B368FE"/>
    <w:rsid w:val="00B74EF8"/>
    <w:rsid w:val="00B80CBD"/>
    <w:rsid w:val="00BA5661"/>
    <w:rsid w:val="00BB2215"/>
    <w:rsid w:val="00BB35A6"/>
    <w:rsid w:val="00BC3369"/>
    <w:rsid w:val="00BC755D"/>
    <w:rsid w:val="00BD69BB"/>
    <w:rsid w:val="00BE06E0"/>
    <w:rsid w:val="00BF56E9"/>
    <w:rsid w:val="00BF77EE"/>
    <w:rsid w:val="00C20DD3"/>
    <w:rsid w:val="00C32E0F"/>
    <w:rsid w:val="00C42BF9"/>
    <w:rsid w:val="00C46B7D"/>
    <w:rsid w:val="00C83E56"/>
    <w:rsid w:val="00CA1EC4"/>
    <w:rsid w:val="00CB1897"/>
    <w:rsid w:val="00CB53B0"/>
    <w:rsid w:val="00CC63CE"/>
    <w:rsid w:val="00CC6794"/>
    <w:rsid w:val="00CF3EFD"/>
    <w:rsid w:val="00D00FB2"/>
    <w:rsid w:val="00D12055"/>
    <w:rsid w:val="00D319B3"/>
    <w:rsid w:val="00D31F8E"/>
    <w:rsid w:val="00D36A71"/>
    <w:rsid w:val="00D4412B"/>
    <w:rsid w:val="00D53924"/>
    <w:rsid w:val="00D60849"/>
    <w:rsid w:val="00D61AAE"/>
    <w:rsid w:val="00D64117"/>
    <w:rsid w:val="00D96D8C"/>
    <w:rsid w:val="00DA755B"/>
    <w:rsid w:val="00DB61C2"/>
    <w:rsid w:val="00DC67B5"/>
    <w:rsid w:val="00DD337E"/>
    <w:rsid w:val="00E00B6F"/>
    <w:rsid w:val="00E01101"/>
    <w:rsid w:val="00E02A95"/>
    <w:rsid w:val="00E23CEC"/>
    <w:rsid w:val="00E44021"/>
    <w:rsid w:val="00E44DDF"/>
    <w:rsid w:val="00E54642"/>
    <w:rsid w:val="00E61600"/>
    <w:rsid w:val="00E62885"/>
    <w:rsid w:val="00E63A57"/>
    <w:rsid w:val="00E97908"/>
    <w:rsid w:val="00EB02EF"/>
    <w:rsid w:val="00EB7718"/>
    <w:rsid w:val="00ED2817"/>
    <w:rsid w:val="00ED69B5"/>
    <w:rsid w:val="00EE6F62"/>
    <w:rsid w:val="00EF3ED0"/>
    <w:rsid w:val="00EF67E3"/>
    <w:rsid w:val="00F07A1D"/>
    <w:rsid w:val="00F17E56"/>
    <w:rsid w:val="00F43B6A"/>
    <w:rsid w:val="00F52E0E"/>
    <w:rsid w:val="00F94C60"/>
    <w:rsid w:val="00FA6970"/>
    <w:rsid w:val="00FB3C14"/>
    <w:rsid w:val="00FD282C"/>
    <w:rsid w:val="00FD62EA"/>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semiHidden/>
    <w:unhideWhenUsed/>
    <w:rsid w:val="000D324B"/>
    <w:rPr>
      <w:rFonts w:ascii="Times New Roman" w:hAnsi="Times New Roman" w:cs="Times New Roman" w:hint="default"/>
      <w:color w:val="0000FF"/>
      <w:u w:val="single"/>
    </w:rPr>
  </w:style>
  <w:style w:type="paragraph" w:styleId="ad">
    <w:name w:val="List Paragraph"/>
    <w:basedOn w:val="a"/>
    <w:uiPriority w:val="34"/>
    <w:qFormat/>
    <w:rsid w:val="000D324B"/>
    <w:pPr>
      <w:spacing w:after="160" w:line="256" w:lineRule="auto"/>
      <w:ind w:left="720"/>
      <w:contextualSpacing/>
    </w:pPr>
    <w:rPr>
      <w:rFonts w:asciiTheme="minorHAnsi" w:eastAsiaTheme="minorHAnsi" w:hAnsiTheme="minorHAnsi" w:cstheme="minorBidi"/>
      <w:noProof w:val="0"/>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535851">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699159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case/24142299"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www.nevo.co.il/case/7716101"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jp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yperlink" Target="https://www.nevo.co.il/psika_html/elyon/20076500-N03.htm" TargetMode="External"/><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nevo.co.il/case/17928724"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270230"/>
    <w:rsid w:val="00833049"/>
    <w:rsid w:val="00AF77D3"/>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79357311</CaseID>
    <CaseJudicialPersonPresentationDS>
      <CaseJudicalPersonActive>
        <CaseID>79357311</CaseID>
        <JudicialPersonID>022829972@GOV.IL</JudicialPersonID>
        <JudicialPersonTypeID>1</JudicialPersonTypeID>
        <JudicialTypeID>1</JudicialTypeID>
        <IsChairman>false</IsChairman>
        <TreatmentStartDate>2024-01-17T17:17:41.823+02:00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79357311</CaseID>
        <CaseJudicialPersonPresentationDS>
          <CaseJudicalPersonActive>
            <CaseID>79357311</CaseID>
            <JudicialPersonID>022829972@GOV.IL</JudicialPersonID>
            <JudicialPersonTypeID>1</JudicialPersonTypeID>
            <JudicialTypeID>1</JudicialTypeID>
            <IsChairman>false</IsChairman>
            <TreatmentStartDate>2024-01-17T17:17:41.823+02:00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268735055</CasePartyID>
        <PartyTypeID>3</PartyTypeID>
        <ActivityStatusID>1</ActivityStatusID>
        <LegalEntityID>33187248</LegalEntityID>
        <CaseLegalEntityID>128454640</CaseLegalEntityID>
        <AssistantRoleID>27</AssistantRoleID>
        <AuthenticationTypeID>3</AuthenticationTypeID>
        <AuthenticationTypeName>חברות</AuthenticationTypeName>
        <LegalEntityNumber>513744136</LegalEntityNumber>
        <IsMainPartyType>true</IsMainPartyType>
        <CaseDisplayIdentifier>26656-06-22</CaseDisplayIdentifier>
        <CaseTypeID>10040</CaseTypeID>
        <CaseTypeName>תיק הסכם (תה"ס)</CaseTypeName>
        <CaseName>שברין נ' שברין</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4</PleaTypeID>
        <GroupPartyAlias/>
        <IsConverted>false</IsConverted>
        <LegalEntityRegisteredNameID>2758567</LegalEntityRegisteredNameID>
        <RepresentatedNamesOfAssistant/>
        <LegalEntityTypeID>3</LegalEntityTypeID>
        <IsVerdictExists>false</IsVerdictExists>
        <IsAsirAzir>false</IsAsirAzir>
        <MainAndSecSpec/>
        <IsPublicationProhibited>false</IsPublicationProhibited>
        <PublicationProhibitedFullName>איטייפ-אומניטק בע"מ</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יוליה שברין</FullName>
        <FirstName>יוליה יהודית</FirstName>
        <LastName>שברין</LastName>
        <PartyPropertyName/>
        <AuthenticationTypeAndNumber>ת"ז 317881829</AuthenticationTypeAndNumber>
        <RepresentatedOrRepresentativesNames>לורי גייזלר</RepresentatedOrRepresentativesNames>
        <RepresentatedOrRepresentativesCount>1</RepresentatedOrRepresentativesCount>
        <InvitedBy/>
        <CaseID>79357311</CaseID>
        <CaseJudicialPersonPresentationDS>
          <CaseJudicalPersonActive>
            <CaseID>79357311</CaseID>
            <JudicialPersonID>022829972@GOV.IL</JudicialPersonID>
            <JudicialPersonTypeID>1</JudicialPersonTypeID>
            <JudicialTypeID>1</JudicialTypeID>
            <IsChairman>false</IsChairman>
            <TreatmentStartDate>2024-01-17T17:17:41.823+02:00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242262044</CasePartyID>
        <PartyTypeID>1</PartyTypeID>
        <ActivityStatusID>1</ActivityStatusID>
        <PartyAliasID>1</PartyAliasID>
        <PartyAliasName>תובע</PartyAliasName>
        <OrdinalNumber>1</OrdinalNumber>
        <LegalEntityID>72661059</LegalEntityID>
        <CaseLegalEntityID>120145344</CaseLegalEntityID>
        <AuthenticationTypeID>1</AuthenticationTypeID>
        <AuthenticationTypeName>ת"ז</AuthenticationTypeName>
        <LegalEntityNumber>317881829</LegalEntityNumber>
        <IsMainPartyType>true</IsMainPartyType>
        <CaseDisplayIdentifier>26656-06-22</CaseDisplayIdentifier>
        <CaseTypeID>10040</CaseTypeID>
        <CaseTypeName>תיק הסכם (תה"ס)</CaseTypeName>
        <CaseName>שברין נ' שברין</CaseName>
        <FullAddress/>
        <MotionID>0</MotionID>
        <CasePleaID>0</CasePleaID>
        <FatherName>שומה</FatherName>
        <LinkedCaseID>0</LinkedCaseID>
        <PartyID>1</PartyID>
        <CasePartyCategoryID>2</CasePartyCategoryID>
        <PleaTypeID>4</PleaTypeID>
        <GroupPartyAlias>תובעים</GroupPartyAlias>
        <IsConverted>false</IsConverted>
        <LegalEntityRegisteredNameID>9813443</LegalEntityRegisteredNameID>
        <LegalEntityNameID>93252277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יוליה שברין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לורי גייזלר</FullName>
        <FirstName>לורי</FirstName>
        <LastName>גייזלר</LastName>
        <PartyPropertyName/>
        <AuthenticationTypeAndNumber>מ.ר. 28741</AuthenticationTypeAndNumber>
        <RepresentatedOrRepresentativesNames>יוליה שברין</RepresentatedOrRepresentativesNames>
        <RepresentatedOrRepresentativesCount>1</RepresentatedOrRepresentativesCount>
        <InvitedBy/>
        <CaseID>79357311</CaseID>
        <CaseJudicialPersonPresentationDS>
          <CaseJudicalPersonActive>
            <CaseID>79357311</CaseID>
            <JudicialPersonID>022829972@GOV.IL</JudicialPersonID>
            <JudicialPersonTypeID>1</JudicialPersonTypeID>
            <JudicialTypeID>1</JudicialTypeID>
            <IsChairman>false</IsChairman>
            <TreatmentStartDate>2024-01-17T17:17:41.823+02:00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242262045</CasePartyID>
        <PartyTypeID>2</PartyTypeID>
        <ActivityStatusID>1</ActivityStatusID>
        <PartyAliasID>20</PartyAliasID>
        <PartyAliasName>בא כוח תובעים</PartyAliasName>
        <OrdinalNumber>1</OrdinalNumber>
        <LegalEntityID>388631</LegalEntityID>
        <CaseLegalEntityID>120145345</CaseLegalEntityID>
        <AuthenticationTypeID>4</AuthenticationTypeID>
        <AuthenticationTypeName>מ.ר.</AuthenticationTypeName>
        <LegalEntityNumber>28741</LegalEntityNumber>
        <IsMainPartyType>true</IsMainPartyType>
        <CaseDisplayIdentifier>26656-06-22</CaseDisplayIdentifier>
        <CaseTypeID>10040</CaseTypeID>
        <CaseTypeName>תיק הסכם (תה"ס)</CaseTypeName>
        <CaseName>שברין נ' שברין</CaseName>
        <FullAddress>ז'בוטינסקי 9 בני ברק מגדל הכשרת הישוב קומה 26</FullAddress>
        <EmailAddress>lori@geizler.co.il</EmailAddress>
        <MotionID>0</MotionID>
        <CasePleaID>0</CasePleaID>
        <LinkedCaseID>0</LinkedCaseID>
        <PartyID>1</PartyID>
        <CasePartyCategoryID>2</CasePartyCategoryID>
        <LegalEntityAddressID>85540215</LegalEntityAddressID>
        <LegalEntityEmailAddressID>67870585</LegalEntityEmailAddressID>
        <PleaTypeID>4</PleaTypeID>
        <LawyerOfficeName>משרד עו"ד: לורי גייזלר</LawyerOfficeName>
        <LawyerOfficeID>429275</LawyerOfficeID>
        <GroupPartyAlias/>
        <IsConverted>false</IsConverted>
        <LegalEntityNameID>9615</LegalEntityNameID>
        <RepresentatedNamesOfAssistant/>
        <LegalEntityTypeID>4</LegalEntityTypeID>
        <IsVerdictExists>false</IsVerdictExists>
        <IsAsirAzir>false</IsAsirAzir>
        <MainAndSecSpec/>
        <IsPublicationProhibited>false</IsPublicationProhibited>
        <PublicationProhibitedFullName>לורי גייזלר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ולדימיר זאב שברין</FullName>
        <FirstName>ולדימיר זאב</FirstName>
        <LastName>שברין</LastName>
        <PartyPropertyName/>
        <AuthenticationTypeAndNumber>ת"ז 309413904</AuthenticationTypeAndNumber>
        <RepresentatedOrRepresentativesNames/>
        <RepresentatedOrRepresentativesCount>0</RepresentatedOrRepresentativesCount>
        <InvitedBy/>
        <CaseID>79357311</CaseID>
        <CaseJudicialPersonPresentationDS>
          <CaseJudicalPersonActive>
            <CaseID>79357311</CaseID>
            <JudicialPersonID>022829972@GOV.IL</JudicialPersonID>
            <JudicialPersonTypeID>1</JudicialPersonTypeID>
            <JudicialTypeID>1</JudicialTypeID>
            <IsChairman>false</IsChairman>
            <TreatmentStartDate>2024-01-17T17:17:41.823+02:00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242262046</CasePartyID>
        <PartyTypeID>1</PartyTypeID>
        <ActivityStatusID>1</ActivityStatusID>
        <PartyAliasID>2</PartyAliasID>
        <PartyAliasName>נתבע</PartyAliasName>
        <OrdinalNumber>1</OrdinalNumber>
        <LegalEntityID>72661058</LegalEntityID>
        <CaseLegalEntityID>120145346</CaseLegalEntityID>
        <AuthenticationTypeID>1</AuthenticationTypeID>
        <AuthenticationTypeName>ת"ז</AuthenticationTypeName>
        <LegalEntityNumber>309413904</LegalEntityNumber>
        <IsMainPartyType>true</IsMainPartyType>
        <CaseDisplayIdentifier>26656-06-22</CaseDisplayIdentifier>
        <CaseTypeID>10040</CaseTypeID>
        <CaseTypeName>תיק הסכם (תה"ס)</CaseTypeName>
        <CaseName>שברין נ' שברין</CaseName>
        <FullAddress>הנגב 13 כפר יונה </FullAddress>
        <MotionID>0</MotionID>
        <CasePleaID>0</CasePleaID>
        <FatherName>גינדי</FatherName>
        <LinkedCaseID>0</LinkedCaseID>
        <PartyID>2</PartyID>
        <CasePartyCategoryID>2</CasePartyCategoryID>
        <LegalEntityAddressID>88632407</LegalEntityAddressID>
        <PleaTypeID>4</PleaTypeID>
        <GroupPartyAlias>נתבעים</GroupPartyAlias>
        <IsConverted>false</IsConverted>
        <LegalEntityRegisteredNameID>5531131</LegalEntityRegisteredNameID>
        <LegalEntityNameID>93252278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ולדימיר זאב שברין</PublicationProhibitedFullName>
      </CaseParties>
    </CasePartiesSelectionDS>
    <DecisionName>פסק דין  שניתנה ע"י  שירלי שי</DecisionName>
    <CourtDisplayName>בית משפט לענייני משפחה בפתח תקווה</CourtDisplayName>
    <IsCaseJudgePanel>false</IsCaseJudgePanel>
    <DecisionSignatureDate>2024-10-10T12:01:01.8131443+03:00</DecisionSignatureDate>
    <OpenCaseDate>2022-06-13T16:23:00+03:00</OpenCaseDate>
    <CaseFeeSum>0.000</CaseFeeSum>
    <DecisionTypeID>2</DecisionTypeID>
    <DecisionSignatureUserName>שירלי שי</DecisionSignatureUserName>
    <DecisionSignatureDateHebrew>2024-10-10T12:01:01.8131443+03:00</DecisionSignatureDateHebrew>
    <DecisionWriterID>022829972@GOV.IL</DecisionWriterID>
    <CourtAddress>רח' בזל 1 א', פתח תקווה -1</CourtAddress>
    <IsAutoTextInCaseExist>false</IsAutoTextInCaseExist>
    <DecisionSignatureRoleName>שופט</DecisionSignatureRoleName>
    <DecisionSignatureUserTitleName>שופטת</DecisionSignatureUserTitleName>
    <CaseName>שברין נ' שברין</CaseName>
    <DecisionNumberInCase>45</DecisionNumberInCase>
  </dt_Decision>
  <dt_DecisionCase>
    <DecisionID>0</DecisionID>
    <CaseID>79357311</CaseID>
    <CaseJudicialPersonPresentationDS>
      <CaseJudicalPersonActive>
        <CaseID>79357311</CaseID>
        <JudicialPersonID>022829972@GOV.IL</JudicialPersonID>
        <JudicialPersonTypeID>1</JudicialPersonTypeID>
        <JudicialTypeID>1</JudicialTypeID>
        <IsChairman>false</IsChairman>
        <TreatmentStartDate>2024-01-17T17:17:41.823+02:00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79357311</CaseID>
        <CaseJudicialPersonPresentationDS>
          <CaseJudicalPersonActive>
            <CaseID>79357311</CaseID>
            <JudicialPersonID>022829972@GOV.IL</JudicialPersonID>
            <JudicialPersonTypeID>1</JudicialPersonTypeID>
            <JudicialTypeID>1</JudicialTypeID>
            <IsChairman>false</IsChairman>
            <TreatmentStartDate>2024-01-17T17:17:41.823+02:00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268735055</CasePartyID>
        <PartyTypeID>3</PartyTypeID>
        <ActivityStatusID>1</ActivityStatusID>
        <LegalEntityID>33187248</LegalEntityID>
        <CaseLegalEntityID>128454640</CaseLegalEntityID>
        <AssistantRoleID>27</AssistantRoleID>
        <AuthenticationTypeID>3</AuthenticationTypeID>
        <AuthenticationTypeName>חברות</AuthenticationTypeName>
        <LegalEntityNumber>513744136</LegalEntityNumber>
        <IsMainPartyType>true</IsMainPartyType>
        <CaseDisplayIdentifier>26656-06-22</CaseDisplayIdentifier>
        <CaseTypeID>10040</CaseTypeID>
        <CaseTypeName>תיק הסכם (תה"ס)</CaseTypeName>
        <CaseName>שברין נ' שברין</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4</PleaTypeID>
        <GroupPartyAlias/>
        <IsConverted>false</IsConverted>
        <LegalEntityRegisteredNameID>2758567</LegalEntityRegisteredNameID>
        <RepresentatedNamesOfAssistant/>
        <LegalEntityTypeID>3</LegalEntityTypeID>
        <IsVerdictExists>false</IsVerdictExists>
        <IsAsirAzir>false</IsAsirAzir>
        <MainAndSecSpec/>
        <IsPublicationProhibited>false</IsPublicationProhibited>
        <PublicationProhibitedFullName>איטייפ-אומניטק בע"מ</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יוליה שברין</FullName>
        <FirstName>יוליה יהודית</FirstName>
        <LastName>שברין</LastName>
        <PartyPropertyName/>
        <AuthenticationTypeAndNumber>ת"ז 317881829</AuthenticationTypeAndNumber>
        <RepresentatedOrRepresentativesNames>לורי גייזלר</RepresentatedOrRepresentativesNames>
        <RepresentatedOrRepresentativesCount>1</RepresentatedOrRepresentativesCount>
        <InvitedBy/>
        <CaseID>79357311</CaseID>
        <CaseJudicialPersonPresentationDS>
          <CaseJudicalPersonActive>
            <CaseID>79357311</CaseID>
            <JudicialPersonID>022829972@GOV.IL</JudicialPersonID>
            <JudicialPersonTypeID>1</JudicialPersonTypeID>
            <JudicialTypeID>1</JudicialTypeID>
            <IsChairman>false</IsChairman>
            <TreatmentStartDate>2024-01-17T17:17:41.823+02:00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242262044</CasePartyID>
        <PartyTypeID>1</PartyTypeID>
        <ActivityStatusID>1</ActivityStatusID>
        <PartyAliasID>1</PartyAliasID>
        <PartyAliasName>תובע</PartyAliasName>
        <OrdinalNumber>1</OrdinalNumber>
        <LegalEntityID>72661059</LegalEntityID>
        <CaseLegalEntityID>120145344</CaseLegalEntityID>
        <AuthenticationTypeID>1</AuthenticationTypeID>
        <AuthenticationTypeName>ת"ז</AuthenticationTypeName>
        <LegalEntityNumber>317881829</LegalEntityNumber>
        <IsMainPartyType>true</IsMainPartyType>
        <CaseDisplayIdentifier>26656-06-22</CaseDisplayIdentifier>
        <CaseTypeID>10040</CaseTypeID>
        <CaseTypeName>תיק הסכם (תה"ס)</CaseTypeName>
        <CaseName>שברין נ' שברין</CaseName>
        <FullAddress/>
        <MotionID>0</MotionID>
        <CasePleaID>0</CasePleaID>
        <FatherName>שומה</FatherName>
        <LinkedCaseID>0</LinkedCaseID>
        <PartyID>1</PartyID>
        <CasePartyCategoryID>2</CasePartyCategoryID>
        <PleaTypeID>4</PleaTypeID>
        <GroupPartyAlias>תובעים</GroupPartyAlias>
        <IsConverted>false</IsConverted>
        <LegalEntityRegisteredNameID>9813443</LegalEntityRegisteredNameID>
        <LegalEntityNameID>93252277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יוליה שברין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לורי גייזלר</FullName>
        <FirstName>לורי</FirstName>
        <LastName>גייזלר</LastName>
        <PartyPropertyName/>
        <AuthenticationTypeAndNumber>מ.ר. 28741</AuthenticationTypeAndNumber>
        <RepresentatedOrRepresentativesNames>יוליה שברין</RepresentatedOrRepresentativesNames>
        <RepresentatedOrRepresentativesCount>1</RepresentatedOrRepresentativesCount>
        <InvitedBy/>
        <CaseID>79357311</CaseID>
        <CaseJudicialPersonPresentationDS>
          <CaseJudicalPersonActive>
            <CaseID>79357311</CaseID>
            <JudicialPersonID>022829972@GOV.IL</JudicialPersonID>
            <JudicialPersonTypeID>1</JudicialPersonTypeID>
            <JudicialTypeID>1</JudicialTypeID>
            <IsChairman>false</IsChairman>
            <TreatmentStartDate>2024-01-17T17:17:41.823+02:00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242262045</CasePartyID>
        <PartyTypeID>2</PartyTypeID>
        <ActivityStatusID>1</ActivityStatusID>
        <PartyAliasID>20</PartyAliasID>
        <PartyAliasName>בא כוח תובעים</PartyAliasName>
        <OrdinalNumber>1</OrdinalNumber>
        <LegalEntityID>388631</LegalEntityID>
        <CaseLegalEntityID>120145345</CaseLegalEntityID>
        <AuthenticationTypeID>4</AuthenticationTypeID>
        <AuthenticationTypeName>מ.ר.</AuthenticationTypeName>
        <LegalEntityNumber>28741</LegalEntityNumber>
        <IsMainPartyType>true</IsMainPartyType>
        <CaseDisplayIdentifier>26656-06-22</CaseDisplayIdentifier>
        <CaseTypeID>10040</CaseTypeID>
        <CaseTypeName>תיק הסכם (תה"ס)</CaseTypeName>
        <CaseName>שברין נ' שברין</CaseName>
        <FullAddress>ז'בוטינסקי 9 בני ברק מגדל הכשרת הישוב קומה 26</FullAddress>
        <EmailAddress>lori@geizler.co.il</EmailAddress>
        <MotionID>0</MotionID>
        <CasePleaID>0</CasePleaID>
        <LinkedCaseID>0</LinkedCaseID>
        <PartyID>1</PartyID>
        <CasePartyCategoryID>2</CasePartyCategoryID>
        <LegalEntityAddressID>85540215</LegalEntityAddressID>
        <LegalEntityEmailAddressID>67870585</LegalEntityEmailAddressID>
        <PleaTypeID>4</PleaTypeID>
        <LawyerOfficeName>משרד עו"ד: לורי גייזלר</LawyerOfficeName>
        <LawyerOfficeID>429275</LawyerOfficeID>
        <GroupPartyAlias/>
        <IsConverted>false</IsConverted>
        <LegalEntityNameID>9615</LegalEntityNameID>
        <RepresentatedNamesOfAssistant/>
        <LegalEntityTypeID>4</LegalEntityTypeID>
        <IsVerdictExists>false</IsVerdictExists>
        <IsAsirAzir>false</IsAsirAzir>
        <MainAndSecSpec/>
        <IsPublicationProhibited>false</IsPublicationProhibited>
        <PublicationProhibitedFullName>לורי גייזלר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ולדימיר זאב שברין</FullName>
        <FirstName>ולדימיר זאב</FirstName>
        <LastName>שברין</LastName>
        <PartyPropertyName/>
        <AuthenticationTypeAndNumber>ת"ז 309413904</AuthenticationTypeAndNumber>
        <RepresentatedOrRepresentativesNames/>
        <RepresentatedOrRepresentativesCount>0</RepresentatedOrRepresentativesCount>
        <InvitedBy/>
        <CaseID>79357311</CaseID>
        <CaseJudicialPersonPresentationDS>
          <CaseJudicalPersonActive>
            <CaseID>79357311</CaseID>
            <JudicialPersonID>022829972@GOV.IL</JudicialPersonID>
            <JudicialPersonTypeID>1</JudicialPersonTypeID>
            <JudicialTypeID>1</JudicialTypeID>
            <IsChairman>false</IsChairman>
            <TreatmentStartDate>2024-01-17T17:17:41.823+02:00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242262046</CasePartyID>
        <PartyTypeID>1</PartyTypeID>
        <ActivityStatusID>1</ActivityStatusID>
        <PartyAliasID>2</PartyAliasID>
        <PartyAliasName>נתבע</PartyAliasName>
        <OrdinalNumber>1</OrdinalNumber>
        <LegalEntityID>72661058</LegalEntityID>
        <CaseLegalEntityID>120145346</CaseLegalEntityID>
        <AuthenticationTypeID>1</AuthenticationTypeID>
        <AuthenticationTypeName>ת"ז</AuthenticationTypeName>
        <LegalEntityNumber>309413904</LegalEntityNumber>
        <IsMainPartyType>true</IsMainPartyType>
        <CaseDisplayIdentifier>26656-06-22</CaseDisplayIdentifier>
        <CaseTypeID>10040</CaseTypeID>
        <CaseTypeName>תיק הסכם (תה"ס)</CaseTypeName>
        <CaseName>שברין נ' שברין</CaseName>
        <FullAddress>הנגב 13 כפר יונה </FullAddress>
        <MotionID>0</MotionID>
        <CasePleaID>0</CasePleaID>
        <FatherName>גינדי</FatherName>
        <LinkedCaseID>0</LinkedCaseID>
        <PartyID>2</PartyID>
        <CasePartyCategoryID>2</CasePartyCategoryID>
        <LegalEntityAddressID>88632407</LegalEntityAddressID>
        <PleaTypeID>4</PleaTypeID>
        <GroupPartyAlias>נתבעים</GroupPartyAlias>
        <IsConverted>false</IsConverted>
        <LegalEntityRegisteredNameID>5531131</LegalEntityRegisteredNameID>
        <LegalEntityNameID>93252278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ולדימיר זאב שברין</PublicationProhibitedFullName>
      </CaseParties>
    </CasePartiesSelectionDS>
    <CaseName>שברין נ' שברין</CaseName>
    <CaseDisplayIdentifier>26656-06-22</CaseDisplayIdentifier>
    <CaseInterestID>10121</CaseInterestID>
    <CaseTypeShortName>תה"ס</CaseTypeShortName>
  </dt_DecisionCase>
  <dt_DecisionJudgePanel>
    <JudgeID>022829972@GOV.IL</JudgeID>
    <DisplayName>שירלי שי</DisplayName>
    <RoleName>שופט</RoleName>
    <UserTitleName>שופטת</UserTitleName>
  </dt_DecisionJudgePanel>
  <dt_LegalEntityDetails>
    <Fax>077-2285648</Fax>
    <Phone>052-4747338</Phone>
    <AddressDesc/>
    <PartyID>1</PartyID>
    <PartyTypeID>3</PartyTypeID>
    <DecisionID>0</DecisionID>
    <AssistantRoleID>27</AssistantRoleID>
    <StreetName>האופן 5</StreetName>
    <ZipCode>49512</ZipCode>
    <CityName>פתח תקווה</CityName>
    <FullName> איטייפ-אומניטק בע"מ</FullName>
    <Email>court@etype.co.il</Email>
    <IsPublicationProhibited>false</IsPublicationProhibited>
  </dt_LegalEntityDetails>
  <dt_LegalEntityDetails>
    <PartyID>1</PartyID>
    <PartyTypeID>1</PartyTypeID>
    <DecisionID>0</DecisionID>
    <FullName>יוליה שברין</FullName>
    <IsPublicationProhibited>false</IsPublicationProhibited>
  </dt_LegalEntityDetails>
  <dt_LegalEntityDetails>
    <Fax>03-5224722</Fax>
    <Phone>03-5471781</Phone>
    <AddressDesc>מגדל הכשרת הישוב קומה 26</AddressDesc>
    <PartyID>1</PartyID>
    <PartyTypeID>2</PartyTypeID>
    <DecisionID>0</DecisionID>
    <StreetName>ז'בוטינסקי 9</StreetName>
    <CityName>בני ברק</CityName>
    <FullName>לורי גייזלר</FullName>
    <Email>lori@geizler.co.il</Email>
    <IsPublicationProhibited>false</IsPublicationProhibited>
  </dt_LegalEntityDetails>
  <dt_LegalEntityDetails>
    <PartyID>2</PartyID>
    <PartyTypeID>1</PartyTypeID>
    <DecisionID>0</DecisionID>
    <StreetName>הנגב 13 </StreetName>
    <CityName>כפר יונה</CityName>
    <FullName>ולדימיר זאב שברין</FullName>
    <IsPublicationProhibited>false</IsPublicationProhibited>
  </dt_LegalEntityDetails>
  <dt_CaseJudicalPersonActive>
    <CaseJudicalPerson>שופטת שירלי שי</CaseJudicalPerson>
  </dt_CaseJudicalPersonActive>
  <dt_Sitting>
    <PreviousMeetingDate>2024-04-15T13:30:00+03:00</PreviousMeetingDate>
    <PreviousSittingTypeID>2</PreviousSittingTypeID>
    <PreviousMeetingDisplayName>שופטת שירלי שי</PreviousMeetingDisplayName>
    <PreviousMeetingRoleName>שופט</PreviousMeetingRoleName>
    <PreviousMeetingUserTitleName>שופטת</PreviousMeetingUserTitleName>
    <PreviousMeetingUserUPN>022829972@GOV.IL</PreviousMeetingUserUPN>
  </dt_Sitting>
</DecisionTemplateDS>
</file>

<file path=customXml/itemProps1.xml><?xml version="1.0" encoding="utf-8"?>
<ds:datastoreItem xmlns:ds="http://schemas.openxmlformats.org/officeDocument/2006/customXml" ds:itemID="{B6DD62A2-DAF8-480F-A9D1-E43A21F5568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9311</Words>
  <Characters>46560</Characters>
  <Application>Microsoft Office Word</Application>
  <DocSecurity>0</DocSecurity>
  <Lines>388</Lines>
  <Paragraphs>111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2024-10-10T13:00:00Z</cp:lastPrinted>
  <dcterms:created xsi:type="dcterms:W3CDTF">2024-11-18T07:35:00Z</dcterms:created>
  <dcterms:modified xsi:type="dcterms:W3CDTF">2024-11-18T07:35:00Z</dcterms:modified>
</cp:coreProperties>
</file>